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1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年度福建省财政科研</w:t>
      </w:r>
    </w:p>
    <w:p>
      <w:pPr>
        <w:snapToGrid w:val="0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资助项目申报方向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outlineLvl w:val="1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cs="仿宋"/>
          <w:sz w:val="32"/>
          <w:szCs w:val="32"/>
          <w:lang w:val="en-US" w:eastAsia="zh-CN"/>
        </w:rPr>
        <w:t>深化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</w:t>
      </w:r>
      <w:r>
        <w:rPr>
          <w:rFonts w:hint="eastAsia" w:cs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体制改革</w:t>
      </w:r>
      <w:r>
        <w:rPr>
          <w:rFonts w:hint="eastAsia" w:cs="仿宋"/>
          <w:sz w:val="32"/>
          <w:szCs w:val="32"/>
          <w:lang w:val="en-US" w:eastAsia="zh-CN"/>
        </w:rPr>
        <w:t>研究（重点聚焦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省以下财政体制</w:t>
      </w:r>
      <w:r>
        <w:rPr>
          <w:rFonts w:hint="eastAsia" w:cs="仿宋"/>
          <w:sz w:val="32"/>
          <w:szCs w:val="32"/>
          <w:lang w:val="en-US" w:eastAsia="zh-CN"/>
        </w:rPr>
        <w:t>改革比较、财政体制改革的法治保障、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完善我省国有资本经营预算制度</w:t>
      </w:r>
      <w:r>
        <w:rPr>
          <w:rFonts w:hint="eastAsia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完善我省权责发生制政府综合财务报告制度</w:t>
      </w:r>
      <w:r>
        <w:rPr>
          <w:rFonts w:hint="eastAsia" w:cs="仿宋"/>
          <w:sz w:val="32"/>
          <w:szCs w:val="32"/>
          <w:lang w:val="en-US" w:eastAsia="zh-CN"/>
        </w:rPr>
        <w:t>等方面）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2.加快推进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零基预算改革</w:t>
      </w:r>
      <w:r>
        <w:rPr>
          <w:rFonts w:hint="eastAsia" w:cs="仿宋"/>
          <w:sz w:val="32"/>
          <w:szCs w:val="32"/>
          <w:lang w:val="en-US" w:eastAsia="zh-CN"/>
        </w:rPr>
        <w:t>研究（重点聚焦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深化零基预算改革的兄弟省份比较以及对我省的借鉴意义</w:t>
      </w:r>
      <w:r>
        <w:rPr>
          <w:rFonts w:hint="eastAsia" w:cs="仿宋"/>
          <w:sz w:val="32"/>
          <w:szCs w:val="32"/>
          <w:lang w:val="en-US" w:eastAsia="zh-CN"/>
        </w:rPr>
        <w:t>、数字赋能项目预算评审等方面）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3.健全税收制度研究（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重点聚焦消费税征收环节后移对地方财政收入的影响与挑战</w:t>
      </w:r>
      <w:r>
        <w:rPr>
          <w:rFonts w:hint="eastAsia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优化完善增值税留抵退税政策和抵扣链条</w:t>
      </w:r>
      <w:r>
        <w:rPr>
          <w:rFonts w:hint="eastAsia" w:cs="仿宋"/>
          <w:sz w:val="32"/>
          <w:szCs w:val="32"/>
          <w:lang w:val="en-US" w:eastAsia="zh-CN"/>
        </w:rPr>
        <w:t>等方面）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4.释放数据要素价值，推进数字经济高质量发展的对策研究（重点聚焦财政推进数字经济发展、数据资产入表、公共数据资产定价机制等方面）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科技创新与产业创新深度融合</w:t>
      </w:r>
      <w:r>
        <w:rPr>
          <w:rFonts w:hint="eastAsia" w:cs="仿宋"/>
          <w:sz w:val="32"/>
          <w:szCs w:val="32"/>
          <w:lang w:val="en-US" w:eastAsia="zh-CN"/>
        </w:rPr>
        <w:t>的财政政策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促进我省教育、科技、人才一体化发展</w:t>
      </w:r>
      <w:r>
        <w:rPr>
          <w:rFonts w:hint="eastAsia" w:cs="仿宋"/>
          <w:sz w:val="32"/>
          <w:szCs w:val="32"/>
          <w:lang w:val="en-US" w:eastAsia="zh-CN"/>
        </w:rPr>
        <w:t>的财政政策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提升我省优质要素资源的吸引力和竞争力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的财政政策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培育涵养</w:t>
      </w:r>
      <w:r>
        <w:rPr>
          <w:rFonts w:hint="eastAsia" w:cs="仿宋"/>
          <w:sz w:val="32"/>
          <w:szCs w:val="32"/>
          <w:lang w:val="en-US" w:eastAsia="zh-CN"/>
        </w:rPr>
        <w:t>重点税源、优质费源研究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福建省重点流域生态保护补偿机制研究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统筹财政资源优化完善生育支持政策研究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11.培育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供需动态平衡的新型消费财政政策研究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cs="仿宋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.优化我省民营经济发展环境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的财政政策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C71AC"/>
    <w:rsid w:val="29C87944"/>
    <w:rsid w:val="36DB3B08"/>
    <w:rsid w:val="3E285C74"/>
    <w:rsid w:val="417E06A6"/>
    <w:rsid w:val="41B941B7"/>
    <w:rsid w:val="49721F17"/>
    <w:rsid w:val="4E290CDA"/>
    <w:rsid w:val="5579695E"/>
    <w:rsid w:val="632E6826"/>
    <w:rsid w:val="6AF97E4A"/>
    <w:rsid w:val="6C741E3B"/>
    <w:rsid w:val="71A11A7E"/>
    <w:rsid w:val="73982A0F"/>
    <w:rsid w:val="7AFF29A9"/>
    <w:rsid w:val="7E467FEB"/>
    <w:rsid w:val="F37F70EC"/>
    <w:rsid w:val="FF760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3"/>
    <w:qFormat/>
    <w:uiPriority w:val="0"/>
    <w:pPr>
      <w:ind w:left="100" w:firstLine="364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5">
    <w:name w:val="Body Text Indent"/>
    <w:basedOn w:val="1"/>
    <w:next w:val="6"/>
    <w:qFormat/>
    <w:uiPriority w:val="0"/>
    <w:pPr>
      <w:ind w:firstLine="555"/>
    </w:pPr>
    <w:rPr>
      <w:rFonts w:ascii="楷体_GB2312" w:eastAsia="楷体_GB2312"/>
      <w:sz w:val="28"/>
    </w:rPr>
  </w:style>
  <w:style w:type="paragraph" w:styleId="6">
    <w:name w:val="Body Text 2"/>
    <w:basedOn w:val="1"/>
    <w:next w:val="7"/>
    <w:qFormat/>
    <w:uiPriority w:val="0"/>
    <w:rPr>
      <w:sz w:val="24"/>
      <w:szCs w:val="24"/>
    </w:rPr>
  </w:style>
  <w:style w:type="paragraph" w:styleId="7">
    <w:name w:val="List 2"/>
    <w:basedOn w:val="1"/>
    <w:next w:val="2"/>
    <w:qFormat/>
    <w:uiPriority w:val="0"/>
    <w:pPr>
      <w:ind w:left="100" w:leftChars="200" w:hanging="200" w:hangingChars="200"/>
    </w:pPr>
  </w:style>
  <w:style w:type="paragraph" w:styleId="8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466</Characters>
  <Lines>0</Lines>
  <Paragraphs>0</Paragraphs>
  <TotalTime>1</TotalTime>
  <ScaleCrop>false</ScaleCrop>
  <LinksUpToDate>false</LinksUpToDate>
  <CharactersWithSpaces>467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王芬</cp:lastModifiedBy>
  <cp:lastPrinted>2025-02-28T08:13:00Z</cp:lastPrinted>
  <dcterms:modified xsi:type="dcterms:W3CDTF">2025-03-14T16:17:59Z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TemplateDocerSaveRecord">
    <vt:lpwstr>eyJoZGlkIjoiODlmMDAyZGYyNTlmOWM2NTE5ZWY1Yzc2ZGZjMTU2OGIiLCJ1c2VySWQiOiIxNTUzMTEzMjc1In0=</vt:lpwstr>
  </property>
  <property fmtid="{D5CDD505-2E9C-101B-9397-08002B2CF9AE}" pid="4" name="ICV">
    <vt:lpwstr>5141DDF6230143708E9790A03ACA9288_12</vt:lpwstr>
  </property>
</Properties>
</file>