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96A" w:rsidRDefault="00146FD8">
      <w:pPr>
        <w:widowControl/>
        <w:adjustRightInd w:val="0"/>
        <w:snapToGrid w:val="0"/>
        <w:spacing w:line="360" w:lineRule="auto"/>
        <w:rPr>
          <w:rFonts w:ascii="仿宋" w:eastAsia="仿宋" w:hAnsi="仿宋" w:cs="宋体"/>
          <w:bCs/>
          <w:color w:val="000000"/>
          <w:sz w:val="32"/>
          <w:szCs w:val="32"/>
        </w:rPr>
      </w:pPr>
      <w:r>
        <w:rPr>
          <w:rFonts w:ascii="仿宋" w:eastAsia="仿宋" w:hAnsi="仿宋" w:cs="宋体" w:hint="eastAsia"/>
          <w:bCs/>
          <w:color w:val="000000"/>
          <w:sz w:val="32"/>
          <w:szCs w:val="32"/>
        </w:rPr>
        <w:t>附件3</w:t>
      </w:r>
      <w:bookmarkStart w:id="0" w:name="_GoBack"/>
      <w:bookmarkEnd w:id="0"/>
    </w:p>
    <w:p w:rsidR="00E7796A" w:rsidRDefault="00146FD8">
      <w:pPr>
        <w:widowControl/>
        <w:adjustRightInd w:val="0"/>
        <w:snapToGrid w:val="0"/>
        <w:spacing w:before="156" w:after="156" w:line="360" w:lineRule="auto"/>
        <w:jc w:val="center"/>
        <w:rPr>
          <w:rFonts w:ascii="黑体" w:eastAsia="黑体" w:hAnsi="黑体" w:cs="宋体"/>
          <w:bCs/>
          <w:color w:val="000000"/>
          <w:sz w:val="36"/>
          <w:szCs w:val="36"/>
        </w:rPr>
      </w:pPr>
      <w:r>
        <w:rPr>
          <w:rFonts w:ascii="黑体" w:eastAsia="黑体" w:hAnsi="黑体" w:cs="宋体" w:hint="eastAsia"/>
          <w:bCs/>
          <w:color w:val="000000"/>
          <w:sz w:val="36"/>
          <w:szCs w:val="36"/>
        </w:rPr>
        <w:t>2018年省级“三公”经费预算安排情况</w:t>
      </w:r>
    </w:p>
    <w:p w:rsidR="00E7796A" w:rsidRDefault="00E7796A">
      <w:pPr>
        <w:widowControl/>
        <w:adjustRightInd w:val="0"/>
        <w:snapToGrid w:val="0"/>
        <w:spacing w:line="360" w:lineRule="auto"/>
        <w:ind w:firstLine="660"/>
        <w:rPr>
          <w:rFonts w:ascii="仿宋" w:eastAsia="仿宋" w:hAnsi="仿宋" w:cs="宋体"/>
          <w:b/>
          <w:bCs/>
          <w:color w:val="000000"/>
          <w:sz w:val="32"/>
          <w:szCs w:val="32"/>
        </w:rPr>
      </w:pPr>
    </w:p>
    <w:p w:rsidR="00E7796A" w:rsidRDefault="00146FD8">
      <w:pPr>
        <w:widowControl/>
        <w:adjustRightInd w:val="0"/>
        <w:snapToGrid w:val="0"/>
        <w:spacing w:line="360" w:lineRule="auto"/>
        <w:ind w:firstLine="660"/>
        <w:rPr>
          <w:rFonts w:ascii="仿宋" w:eastAsia="仿宋" w:hAnsi="仿宋" w:cs="宋体"/>
          <w:b/>
          <w:sz w:val="32"/>
          <w:szCs w:val="32"/>
        </w:rPr>
      </w:pPr>
      <w:r>
        <w:rPr>
          <w:rFonts w:ascii="仿宋" w:eastAsia="仿宋" w:hAnsi="仿宋" w:cs="宋体" w:hint="eastAsia"/>
          <w:sz w:val="32"/>
          <w:szCs w:val="32"/>
        </w:rPr>
        <w:t>根据国务院关于推进政府预算信息公开的决策部署和省政府工作安排，经福建省财政厅汇总，2018年福建省省本级使用一般公共预算拨款安排的“三公”经费预算数为5亿元，</w:t>
      </w:r>
      <w:r>
        <w:rPr>
          <w:rFonts w:ascii="仿宋" w:eastAsia="仿宋" w:hAnsi="仿宋" w:cs="宋体" w:hint="eastAsia"/>
          <w:sz w:val="32"/>
          <w:szCs w:val="32"/>
          <w:lang w:val="zh-CN"/>
        </w:rPr>
        <w:t>比上年</w:t>
      </w:r>
      <w:r>
        <w:rPr>
          <w:rFonts w:ascii="仿宋" w:eastAsia="仿宋" w:hAnsi="仿宋" w:cs="宋体" w:hint="eastAsia"/>
          <w:sz w:val="32"/>
          <w:szCs w:val="32"/>
        </w:rPr>
        <w:t>预算数</w:t>
      </w:r>
      <w:r>
        <w:rPr>
          <w:rFonts w:ascii="仿宋" w:eastAsia="仿宋" w:hAnsi="仿宋" w:cs="宋体" w:hint="eastAsia"/>
          <w:sz w:val="32"/>
          <w:szCs w:val="32"/>
          <w:lang w:val="zh-CN"/>
        </w:rPr>
        <w:t>减少0.1亿元。</w:t>
      </w:r>
      <w:r>
        <w:rPr>
          <w:rFonts w:ascii="仿宋" w:eastAsia="仿宋" w:hAnsi="仿宋" w:cs="宋体" w:hint="eastAsia"/>
          <w:color w:val="000000"/>
          <w:sz w:val="32"/>
          <w:szCs w:val="32"/>
          <w:lang w:val="zh-CN"/>
        </w:rPr>
        <w:t>其中，因公出国（境）经费0.69亿元，与上年</w:t>
      </w:r>
      <w:r>
        <w:rPr>
          <w:rFonts w:ascii="仿宋" w:eastAsia="仿宋" w:hAnsi="仿宋" w:cs="宋体" w:hint="eastAsia"/>
          <w:sz w:val="32"/>
          <w:szCs w:val="32"/>
        </w:rPr>
        <w:t>预算数</w:t>
      </w:r>
      <w:r>
        <w:rPr>
          <w:rFonts w:ascii="仿宋" w:eastAsia="仿宋" w:hAnsi="仿宋" w:cs="宋体" w:hint="eastAsia"/>
          <w:color w:val="000000"/>
          <w:sz w:val="32"/>
          <w:szCs w:val="32"/>
          <w:lang w:val="zh-CN"/>
        </w:rPr>
        <w:t>持平；公务接待费1.15亿元，比上年</w:t>
      </w:r>
      <w:r>
        <w:rPr>
          <w:rFonts w:ascii="仿宋" w:eastAsia="仿宋" w:hAnsi="仿宋" w:cs="宋体" w:hint="eastAsia"/>
          <w:sz w:val="32"/>
          <w:szCs w:val="32"/>
        </w:rPr>
        <w:t>预算数</w:t>
      </w:r>
      <w:r>
        <w:rPr>
          <w:rFonts w:ascii="仿宋" w:eastAsia="仿宋" w:hAnsi="仿宋" w:cs="宋体" w:hint="eastAsia"/>
          <w:color w:val="000000"/>
          <w:sz w:val="32"/>
          <w:szCs w:val="32"/>
          <w:lang w:val="zh-CN"/>
        </w:rPr>
        <w:t>减少0.1亿元，主要是省直各部门深入贯彻落实《福建省党政机关国内公务接待管理办法》规定，严控接待费支出；公务用车购置经费0.59亿元，与上年</w:t>
      </w:r>
      <w:r>
        <w:rPr>
          <w:rFonts w:ascii="仿宋" w:eastAsia="仿宋" w:hAnsi="仿宋" w:cs="宋体" w:hint="eastAsia"/>
          <w:sz w:val="32"/>
          <w:szCs w:val="32"/>
        </w:rPr>
        <w:t>预算数</w:t>
      </w:r>
      <w:r>
        <w:rPr>
          <w:rFonts w:ascii="仿宋" w:eastAsia="仿宋" w:hAnsi="仿宋" w:cs="宋体" w:hint="eastAsia"/>
          <w:color w:val="000000"/>
          <w:sz w:val="32"/>
          <w:szCs w:val="32"/>
          <w:lang w:val="zh-CN"/>
        </w:rPr>
        <w:t>持平；公务用车运行经费2.57亿元，与上年</w:t>
      </w:r>
      <w:r>
        <w:rPr>
          <w:rFonts w:ascii="仿宋" w:eastAsia="仿宋" w:hAnsi="仿宋" w:cs="宋体" w:hint="eastAsia"/>
          <w:sz w:val="32"/>
          <w:szCs w:val="32"/>
        </w:rPr>
        <w:t>预算数基本</w:t>
      </w:r>
      <w:r>
        <w:rPr>
          <w:rFonts w:ascii="仿宋" w:eastAsia="仿宋" w:hAnsi="仿宋" w:cs="宋体" w:hint="eastAsia"/>
          <w:color w:val="000000"/>
          <w:sz w:val="32"/>
          <w:szCs w:val="32"/>
          <w:lang w:val="zh-CN"/>
        </w:rPr>
        <w:t>持平。</w:t>
      </w:r>
    </w:p>
    <w:p w:rsidR="00E7796A" w:rsidRDefault="00E7796A">
      <w:pPr>
        <w:widowControl/>
        <w:adjustRightInd w:val="0"/>
        <w:snapToGrid w:val="0"/>
        <w:spacing w:line="360" w:lineRule="auto"/>
        <w:ind w:firstLine="660"/>
        <w:jc w:val="center"/>
        <w:rPr>
          <w:rFonts w:ascii="仿宋" w:eastAsia="仿宋" w:hAnsi="仿宋" w:cs="宋体"/>
          <w:b/>
          <w:sz w:val="32"/>
          <w:szCs w:val="32"/>
        </w:rPr>
      </w:pPr>
    </w:p>
    <w:sectPr w:rsidR="00E7796A" w:rsidSect="00E7796A">
      <w:pgSz w:w="11906" w:h="16838"/>
      <w:pgMar w:top="1134" w:right="155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FD8" w:rsidRDefault="00146FD8" w:rsidP="00146FD8">
      <w:r>
        <w:separator/>
      </w:r>
    </w:p>
  </w:endnote>
  <w:endnote w:type="continuationSeparator" w:id="0">
    <w:p w:rsidR="00146FD8" w:rsidRDefault="00146FD8" w:rsidP="00146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FD8" w:rsidRDefault="00146FD8" w:rsidP="00146FD8">
      <w:r>
        <w:separator/>
      </w:r>
    </w:p>
  </w:footnote>
  <w:footnote w:type="continuationSeparator" w:id="0">
    <w:p w:rsidR="00146FD8" w:rsidRDefault="00146FD8" w:rsidP="00146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4D0D"/>
    <w:multiLevelType w:val="hybridMultilevel"/>
    <w:tmpl w:val="85E4E854"/>
    <w:lvl w:ilvl="0" w:tplc="9AA41B00">
      <w:start w:val="1"/>
      <w:numFmt w:val="japaneseCounting"/>
      <w:lvlText w:val="%1、"/>
      <w:lvlJc w:val="left"/>
      <w:pPr>
        <w:ind w:left="720" w:hanging="720"/>
      </w:pPr>
      <w:rPr>
        <w:rFonts w:hint="default"/>
      </w:rPr>
    </w:lvl>
    <w:lvl w:ilvl="1" w:tplc="2352622C">
      <w:start w:val="1"/>
      <w:numFmt w:val="lowerLetter"/>
      <w:lvlText w:val="%2)"/>
      <w:lvlJc w:val="left"/>
      <w:pPr>
        <w:ind w:left="840" w:hanging="420"/>
      </w:pPr>
    </w:lvl>
    <w:lvl w:ilvl="2" w:tplc="97366538">
      <w:start w:val="1"/>
      <w:numFmt w:val="lowerRoman"/>
      <w:lvlText w:val="%3."/>
      <w:lvlJc w:val="right"/>
      <w:pPr>
        <w:ind w:left="1260" w:hanging="420"/>
      </w:pPr>
    </w:lvl>
    <w:lvl w:ilvl="3" w:tplc="92426A0C">
      <w:start w:val="1"/>
      <w:numFmt w:val="decimal"/>
      <w:lvlText w:val="%4."/>
      <w:lvlJc w:val="left"/>
      <w:pPr>
        <w:ind w:left="1680" w:hanging="420"/>
      </w:pPr>
    </w:lvl>
    <w:lvl w:ilvl="4" w:tplc="E3C21C06">
      <w:start w:val="1"/>
      <w:numFmt w:val="lowerLetter"/>
      <w:lvlText w:val="%5)"/>
      <w:lvlJc w:val="left"/>
      <w:pPr>
        <w:ind w:left="2100" w:hanging="420"/>
      </w:pPr>
    </w:lvl>
    <w:lvl w:ilvl="5" w:tplc="58F40E2E">
      <w:start w:val="1"/>
      <w:numFmt w:val="lowerRoman"/>
      <w:lvlText w:val="%6."/>
      <w:lvlJc w:val="right"/>
      <w:pPr>
        <w:ind w:left="2520" w:hanging="420"/>
      </w:pPr>
    </w:lvl>
    <w:lvl w:ilvl="6" w:tplc="5B2612EA">
      <w:start w:val="1"/>
      <w:numFmt w:val="decimal"/>
      <w:lvlText w:val="%7."/>
      <w:lvlJc w:val="left"/>
      <w:pPr>
        <w:ind w:left="2940" w:hanging="420"/>
      </w:pPr>
    </w:lvl>
    <w:lvl w:ilvl="7" w:tplc="FC62D70C">
      <w:start w:val="1"/>
      <w:numFmt w:val="lowerLetter"/>
      <w:lvlText w:val="%8)"/>
      <w:lvlJc w:val="left"/>
      <w:pPr>
        <w:ind w:left="3360" w:hanging="420"/>
      </w:pPr>
    </w:lvl>
    <w:lvl w:ilvl="8" w:tplc="93FA8402">
      <w:start w:val="1"/>
      <w:numFmt w:val="lowerRoman"/>
      <w:lvlText w:val="%9."/>
      <w:lvlJc w:val="right"/>
      <w:pPr>
        <w:ind w:left="3780" w:hanging="420"/>
      </w:pPr>
    </w:lvl>
  </w:abstractNum>
  <w:abstractNum w:abstractNumId="1">
    <w:nsid w:val="08A54A0A"/>
    <w:multiLevelType w:val="multilevel"/>
    <w:tmpl w:val="39DAE76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70815493"/>
    <w:multiLevelType w:val="multilevel"/>
    <w:tmpl w:val="CA826B2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ExpandShiftReturn/>
    <w:adjustLineHeightInTable/>
    <w:useFELayout/>
  </w:compat>
  <w:rsids>
    <w:rsidRoot w:val="00E7796A"/>
    <w:rsid w:val="00002261"/>
    <w:rsid w:val="00146FD8"/>
    <w:rsid w:val="00CA650C"/>
    <w:rsid w:val="00E7796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rsid w:val="00E779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Header">
    <w:name w:val="Header"/>
    <w:basedOn w:val="a"/>
    <w:unhideWhenUsed/>
    <w:rsid w:val="00E7796A"/>
    <w:pPr>
      <w:pBdr>
        <w:bottom w:val="single" w:sz="6" w:space="1" w:color="000000"/>
      </w:pBdr>
      <w:tabs>
        <w:tab w:val="center" w:pos="4153"/>
        <w:tab w:val="right" w:pos="8306"/>
      </w:tabs>
      <w:snapToGrid w:val="0"/>
      <w:jc w:val="center"/>
    </w:pPr>
    <w:rPr>
      <w:sz w:val="18"/>
      <w:szCs w:val="18"/>
    </w:rPr>
  </w:style>
  <w:style w:type="character" w:customStyle="1" w:styleId="Char">
    <w:name w:val="页眉 Char"/>
    <w:basedOn w:val="a0"/>
    <w:rsid w:val="00E7796A"/>
    <w:rPr>
      <w:sz w:val="18"/>
      <w:szCs w:val="18"/>
    </w:rPr>
  </w:style>
  <w:style w:type="paragraph" w:customStyle="1" w:styleId="Footer">
    <w:name w:val="Footer"/>
    <w:basedOn w:val="a"/>
    <w:unhideWhenUsed/>
    <w:rsid w:val="00E7796A"/>
    <w:pPr>
      <w:tabs>
        <w:tab w:val="center" w:pos="4153"/>
        <w:tab w:val="right" w:pos="8306"/>
      </w:tabs>
      <w:snapToGrid w:val="0"/>
      <w:jc w:val="left"/>
    </w:pPr>
    <w:rPr>
      <w:sz w:val="18"/>
      <w:szCs w:val="18"/>
    </w:rPr>
  </w:style>
  <w:style w:type="character" w:customStyle="1" w:styleId="Char0">
    <w:name w:val="页脚 Char"/>
    <w:basedOn w:val="a0"/>
    <w:rsid w:val="00E7796A"/>
    <w:rPr>
      <w:sz w:val="18"/>
      <w:szCs w:val="18"/>
    </w:rPr>
  </w:style>
  <w:style w:type="paragraph" w:styleId="a4">
    <w:name w:val="Balloon Text"/>
    <w:basedOn w:val="a"/>
    <w:semiHidden/>
    <w:unhideWhenUsed/>
    <w:rsid w:val="00E7796A"/>
    <w:rPr>
      <w:sz w:val="18"/>
      <w:szCs w:val="18"/>
    </w:rPr>
  </w:style>
  <w:style w:type="character" w:customStyle="1" w:styleId="Char1">
    <w:name w:val="批注框文本 Char"/>
    <w:basedOn w:val="a0"/>
    <w:semiHidden/>
    <w:rsid w:val="00E7796A"/>
    <w:rPr>
      <w:sz w:val="18"/>
      <w:szCs w:val="18"/>
    </w:rPr>
  </w:style>
  <w:style w:type="paragraph" w:styleId="a5">
    <w:name w:val="List Paragraph"/>
    <w:basedOn w:val="a"/>
    <w:qFormat/>
    <w:rsid w:val="00E7796A"/>
    <w:pPr>
      <w:ind w:firstLineChars="200" w:firstLine="420"/>
    </w:pPr>
  </w:style>
  <w:style w:type="paragraph" w:styleId="a6">
    <w:name w:val="header"/>
    <w:basedOn w:val="a"/>
    <w:link w:val="Char10"/>
    <w:uiPriority w:val="99"/>
    <w:semiHidden/>
    <w:unhideWhenUsed/>
    <w:rsid w:val="00146FD8"/>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6"/>
    <w:uiPriority w:val="99"/>
    <w:semiHidden/>
    <w:rsid w:val="00146FD8"/>
    <w:rPr>
      <w:sz w:val="18"/>
      <w:szCs w:val="18"/>
    </w:rPr>
  </w:style>
  <w:style w:type="paragraph" w:styleId="a7">
    <w:name w:val="footer"/>
    <w:basedOn w:val="a"/>
    <w:link w:val="Char11"/>
    <w:uiPriority w:val="99"/>
    <w:semiHidden/>
    <w:unhideWhenUsed/>
    <w:rsid w:val="00146FD8"/>
    <w:pPr>
      <w:tabs>
        <w:tab w:val="center" w:pos="4153"/>
        <w:tab w:val="right" w:pos="8306"/>
      </w:tabs>
      <w:snapToGrid w:val="0"/>
      <w:jc w:val="left"/>
    </w:pPr>
    <w:rPr>
      <w:sz w:val="18"/>
      <w:szCs w:val="18"/>
    </w:rPr>
  </w:style>
  <w:style w:type="character" w:customStyle="1" w:styleId="Char11">
    <w:name w:val="页脚 Char1"/>
    <w:basedOn w:val="a0"/>
    <w:link w:val="a7"/>
    <w:uiPriority w:val="99"/>
    <w:semiHidden/>
    <w:rsid w:val="00146FD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预算处/唐真</dc:creator>
  <cp:keywords/>
  <dc:description/>
  <cp:lastModifiedBy>管理员</cp:lastModifiedBy>
  <cp:revision>3</cp:revision>
  <cp:lastPrinted>2018-02-12T08:57:00Z</cp:lastPrinted>
  <dcterms:created xsi:type="dcterms:W3CDTF">2018-02-12T08:57:00Z</dcterms:created>
  <dcterms:modified xsi:type="dcterms:W3CDTF">2018-02-12T08:57:00Z</dcterms:modified>
</cp:coreProperties>
</file>