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454" w:rsidRPr="00FF1947" w:rsidRDefault="00FF1947" w:rsidP="00FF1947">
      <w:pPr>
        <w:jc w:val="center"/>
        <w:rPr>
          <w:rFonts w:ascii="黑体" w:eastAsia="黑体" w:hAnsi="黑体" w:hint="eastAsia"/>
          <w:sz w:val="44"/>
          <w:szCs w:val="44"/>
        </w:rPr>
      </w:pPr>
      <w:r w:rsidRPr="00FF1947">
        <w:rPr>
          <w:rFonts w:ascii="黑体" w:eastAsia="黑体" w:hAnsi="黑体" w:hint="eastAsia"/>
          <w:sz w:val="44"/>
          <w:szCs w:val="44"/>
        </w:rPr>
        <w:t>预算绩效工作开展情况说明</w:t>
      </w:r>
    </w:p>
    <w:p w:rsidR="00FF1947" w:rsidRPr="00FF1947" w:rsidRDefault="00FF1947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2018年，省级财政部门对农林水、教育、社会保障和就业、卫生健康、城乡社区、文化旅游体育与传媒、商业服务业、公共安全和一般公共服务等领域50个财政重点支出项目开展绩效评价，涉及财政资金104.07亿元。其中，绩效等级</w:t>
      </w:r>
      <w:r w:rsidR="00390596">
        <w:rPr>
          <w:rFonts w:ascii="仿宋" w:eastAsia="仿宋" w:hAnsi="仿宋" w:hint="eastAsia"/>
          <w:sz w:val="32"/>
          <w:szCs w:val="32"/>
        </w:rPr>
        <w:t>达到“优”的13项、“良”的36项、“合格”的</w:t>
      </w:r>
      <w:bookmarkStart w:id="0" w:name="_GoBack"/>
      <w:bookmarkEnd w:id="0"/>
      <w:r w:rsidR="00390596">
        <w:rPr>
          <w:rFonts w:ascii="仿宋" w:eastAsia="仿宋" w:hAnsi="仿宋" w:hint="eastAsia"/>
          <w:sz w:val="32"/>
          <w:szCs w:val="32"/>
        </w:rPr>
        <w:t>1项。</w:t>
      </w:r>
    </w:p>
    <w:sectPr w:rsidR="00FF1947" w:rsidRPr="00FF1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947"/>
    <w:rsid w:val="00390596"/>
    <w:rsid w:val="0069595B"/>
    <w:rsid w:val="00EF76CF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130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2020-05-27T11:57:00Z</dcterms:created>
  <dcterms:modified xsi:type="dcterms:W3CDTF">2020-05-27T12:08:00Z</dcterms:modified>
</cp:coreProperties>
</file>