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20" w:type="dxa"/>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1632" w:hRule="exact"/>
        </w:trPr>
        <w:tc>
          <w:tcPr>
            <w:tcW w:w="8920" w:type="dxa"/>
            <w:gridSpan w:val="2"/>
            <w:noWrap w:val="0"/>
            <w:vAlign w:val="center"/>
          </w:tcPr>
          <w:p>
            <w:pPr>
              <w:adjustRightInd w:val="0"/>
              <w:snapToGrid w:val="0"/>
              <w:spacing w:before="100" w:beforeAutospacing="1" w:after="100" w:afterAutospacing="1"/>
              <w:ind w:right="496" w:rightChars="157"/>
              <w:textAlignment w:val="bottom"/>
              <w:rPr>
                <w:rFonts w:eastAsia="黑体"/>
                <w:sz w:val="32"/>
                <w:szCs w:val="32"/>
              </w:rPr>
            </w:pPr>
            <w:bookmarkStart w:id="14" w:name="_GoBack"/>
            <w:bookmarkEnd w:id="14"/>
          </w:p>
        </w:tc>
      </w:tr>
      <w:tr>
        <w:tblPrEx>
          <w:tblCellMar>
            <w:top w:w="0" w:type="dxa"/>
            <w:left w:w="28" w:type="dxa"/>
            <w:bottom w:w="0" w:type="dxa"/>
            <w:right w:w="28" w:type="dxa"/>
          </w:tblCellMar>
        </w:tblPrEx>
        <w:trPr>
          <w:trHeight w:val="1560" w:hRule="atLeast"/>
        </w:trPr>
        <w:tc>
          <w:tcPr>
            <w:tcW w:w="6702" w:type="dxa"/>
            <w:noWrap w:val="0"/>
            <w:vAlign w:val="center"/>
          </w:tcPr>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52"/>
                <w:szCs w:val="52"/>
                <w:lang w:eastAsia="zh-CN"/>
              </w:rPr>
            </w:pPr>
            <w:bookmarkStart w:id="0" w:name="PO_fhead1"/>
            <w:r>
              <w:rPr>
                <w:rFonts w:hint="eastAsia" w:ascii="方正小标宋简体" w:eastAsia="方正小标宋简体"/>
                <w:b/>
                <w:bCs/>
                <w:color w:val="FF0000"/>
                <w:sz w:val="52"/>
                <w:szCs w:val="52"/>
                <w:lang w:eastAsia="zh-CN"/>
              </w:rPr>
              <w:t>福建省财政厅</w:t>
            </w:r>
          </w:p>
          <w:p>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84"/>
                <w:szCs w:val="84"/>
                <w:lang w:eastAsia="zh-CN"/>
              </w:rPr>
            </w:pPr>
            <w:r>
              <w:rPr>
                <w:rFonts w:hint="eastAsia" w:ascii="方正小标宋简体" w:eastAsia="方正小标宋简体"/>
                <w:b/>
                <w:bCs/>
                <w:color w:val="FF0000"/>
                <w:sz w:val="52"/>
                <w:szCs w:val="52"/>
                <w:lang w:eastAsia="zh-CN"/>
              </w:rPr>
              <w:t>福建省工业和信息化厅</w:t>
            </w:r>
            <w:bookmarkEnd w:id="0"/>
          </w:p>
        </w:tc>
        <w:tc>
          <w:tcPr>
            <w:tcW w:w="2218" w:type="dxa"/>
            <w:noWrap w:val="0"/>
            <w:vAlign w:val="center"/>
          </w:tcPr>
          <w:p>
            <w:pPr>
              <w:adjustRightInd w:val="0"/>
              <w:snapToGrid w:val="0"/>
              <w:spacing w:before="100" w:beforeAutospacing="1" w:after="100" w:afterAutospacing="1"/>
              <w:jc w:val="center"/>
              <w:textAlignment w:val="bottom"/>
              <w:rPr>
                <w:rFonts w:ascii="方正小标宋简体" w:eastAsia="方正小标宋简体"/>
                <w:b/>
                <w:bCs/>
                <w:sz w:val="84"/>
                <w:szCs w:val="84"/>
              </w:rPr>
            </w:pPr>
            <w:bookmarkStart w:id="1" w:name="PO_fhead2"/>
            <w:r>
              <w:rPr>
                <w:rFonts w:hint="eastAsia" w:ascii="方正小标宋简体" w:eastAsia="方正小标宋简体" w:cs="宋体"/>
                <w:b/>
                <w:bCs/>
                <w:color w:val="FF0000"/>
                <w:spacing w:val="52"/>
                <w:sz w:val="84"/>
                <w:szCs w:val="84"/>
              </w:rPr>
              <w:t>文件</w:t>
            </w:r>
            <w:bookmarkEnd w:id="1"/>
          </w:p>
        </w:tc>
      </w:tr>
      <w:tr>
        <w:tblPrEx>
          <w:tblCellMar>
            <w:top w:w="0" w:type="dxa"/>
            <w:left w:w="28" w:type="dxa"/>
            <w:bottom w:w="0" w:type="dxa"/>
            <w:right w:w="28" w:type="dxa"/>
          </w:tblCellMar>
        </w:tblPrEx>
        <w:trPr>
          <w:trHeight w:val="931" w:hRule="exact"/>
        </w:trPr>
        <w:tc>
          <w:tcPr>
            <w:tcW w:w="8920" w:type="dxa"/>
            <w:gridSpan w:val="2"/>
            <w:noWrap w:val="0"/>
            <w:vAlign w:val="bottom"/>
          </w:tcPr>
          <w:p>
            <w:pPr>
              <w:adjustRightInd w:val="0"/>
              <w:snapToGrid w:val="0"/>
              <w:spacing w:before="120" w:line="318" w:lineRule="atLeast"/>
              <w:ind w:right="339" w:firstLine="253" w:firstLineChars="80"/>
              <w:jc w:val="center"/>
              <w:textAlignment w:val="bottom"/>
              <w:rPr>
                <w:rFonts w:hint="eastAsia" w:ascii="仿宋" w:hAnsi="仿宋" w:eastAsia="仿宋"/>
                <w:lang w:val="en-US" w:eastAsia="zh-CN"/>
              </w:rPr>
            </w:pPr>
            <w:bookmarkStart w:id="2" w:name="PO_fwh"/>
            <w:r>
              <w:rPr>
                <w:rFonts w:hint="eastAsia" w:ascii="仿宋" w:hAnsi="仿宋" w:eastAsia="仿宋" w:cs="仿宋"/>
                <w:sz w:val="32"/>
                <w:szCs w:val="36"/>
                <w:lang w:eastAsia="zh-CN"/>
              </w:rPr>
              <w:t>闽财规〔2023〕13号</w:t>
            </w:r>
            <w:bookmarkEnd w:id="2"/>
          </w:p>
        </w:tc>
      </w:tr>
      <w:tr>
        <w:tblPrEx>
          <w:tblCellMar>
            <w:top w:w="0" w:type="dxa"/>
            <w:left w:w="28" w:type="dxa"/>
            <w:bottom w:w="0" w:type="dxa"/>
            <w:right w:w="28" w:type="dxa"/>
          </w:tblCellMar>
        </w:tblPrEx>
        <w:trPr>
          <w:trHeight w:val="92" w:hRule="exact"/>
        </w:trPr>
        <w:tc>
          <w:tcPr>
            <w:tcW w:w="8920" w:type="dxa"/>
            <w:gridSpan w:val="2"/>
            <w:noWrap w:val="0"/>
            <w:vAlign w:val="top"/>
          </w:tcPr>
          <w:p>
            <w:pPr>
              <w:adjustRightInd w:val="0"/>
              <w:snapToGrid w:val="0"/>
              <w:spacing w:line="240" w:lineRule="exact"/>
              <w:jc w:val="center"/>
              <w:rPr>
                <w:rFonts w:ascii="仿宋" w:hAnsi="仿宋" w:cs="宋体"/>
                <w:sz w:val="10"/>
                <w:szCs w:val="10"/>
              </w:rPr>
            </w:pPr>
            <w:bookmarkStart w:id="3" w:name="PO_fline"/>
            <w:r>
              <w:rPr>
                <w:rFonts w:ascii="仿宋" w:hAnsi="仿宋" w:cs="宋体"/>
                <w:sz w:val="10"/>
                <w:szCs w:val="10"/>
              </w:rPr>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21600 0 0 0">
                  <v:path arrowok="t"/>
                  <v:fill on="f" focussize="0,0"/>
                  <v:stroke weight="3pt" color="#FF0000"/>
                  <v:imagedata o:title=""/>
                  <o:lock v:ext="edit"/>
                  <w10:wrap type="tight"/>
                </v:line>
              </w:pict>
            </w:r>
            <w:bookmarkEnd w:id="3"/>
          </w:p>
        </w:tc>
      </w:tr>
    </w:tbl>
    <w:p>
      <w:pPr>
        <w:rPr>
          <w:rFonts w:hint="eastAsia" w:ascii="仿宋" w:hAnsi="仿宋" w:eastAsia="仿宋"/>
          <w:sz w:val="32"/>
          <w:szCs w:val="32"/>
        </w:rPr>
      </w:pPr>
    </w:p>
    <w:p>
      <w:pPr>
        <w:snapToGrid w:val="0"/>
        <w:jc w:val="center"/>
        <w:rPr>
          <w:rFonts w:hint="eastAsia" w:ascii="方正小标宋简体" w:hAnsi="仿宋" w:eastAsia="方正小标宋简体"/>
          <w:sz w:val="44"/>
          <w:szCs w:val="44"/>
          <w:lang w:eastAsia="zh-CN"/>
        </w:rPr>
      </w:pPr>
      <w:bookmarkStart w:id="4" w:name="PO_fbt"/>
      <w:r>
        <w:rPr>
          <w:rFonts w:hint="eastAsia" w:ascii="方正小标宋简体" w:hAnsi="仿宋" w:eastAsia="方正小标宋简体"/>
          <w:sz w:val="44"/>
          <w:szCs w:val="44"/>
          <w:lang w:eastAsia="zh-CN"/>
        </w:rPr>
        <w:t>福建省财政厅 福建省工业和信息化厅关于</w:t>
      </w:r>
    </w:p>
    <w:p>
      <w:pPr>
        <w:snapToGrid w:val="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印发《福建省省级中小微企业发展专项</w:t>
      </w:r>
    </w:p>
    <w:p>
      <w:pPr>
        <w:snapToGrid w:val="0"/>
        <w:jc w:val="center"/>
        <w:rPr>
          <w:rFonts w:hint="eastAsia" w:ascii="宋体" w:hAnsi="宋体" w:eastAsia="方正小标宋简体" w:cs="宋体"/>
          <w:sz w:val="44"/>
          <w:szCs w:val="44"/>
          <w:lang w:eastAsia="zh-CN"/>
        </w:rPr>
      </w:pPr>
      <w:r>
        <w:rPr>
          <w:rFonts w:hint="eastAsia" w:ascii="方正小标宋简体" w:hAnsi="仿宋" w:eastAsia="方正小标宋简体"/>
          <w:sz w:val="44"/>
          <w:szCs w:val="44"/>
          <w:lang w:eastAsia="zh-CN"/>
        </w:rPr>
        <w:t>资金管理办法》的通知</w:t>
      </w:r>
      <w:bookmarkEnd w:id="4"/>
    </w:p>
    <w:p>
      <w:pPr>
        <w:rPr>
          <w:rFonts w:hint="eastAsia" w:ascii="仿宋" w:hAnsi="仿宋" w:eastAsia="仿宋"/>
          <w:sz w:val="32"/>
          <w:szCs w:val="36"/>
        </w:rPr>
      </w:pPr>
    </w:p>
    <w:p>
      <w:pPr>
        <w:jc w:val="left"/>
      </w:pPr>
      <w:bookmarkStart w:id="5" w:name="PO_fzs"/>
      <w:r>
        <w:rPr>
          <w:rFonts w:hint="eastAsia" w:ascii="仿宋" w:hAnsi="仿宋" w:eastAsia="仿宋"/>
          <w:sz w:val="32"/>
          <w:szCs w:val="36"/>
          <w:lang w:eastAsia="zh-CN"/>
        </w:rPr>
        <w:t>各设区市财政局、工信局，平潭综合实验区财政金融局、经发局</w:t>
      </w:r>
      <w:bookmarkEnd w:id="5"/>
      <w:r>
        <w:rPr>
          <w:rFonts w:hint="eastAsia" w:ascii="仿宋" w:hAnsi="仿宋" w:eastAsia="仿宋"/>
          <w:sz w:val="32"/>
          <w:szCs w:val="36"/>
        </w:rPr>
        <w:t>：</w:t>
      </w:r>
    </w:p>
    <w:p>
      <w:pPr>
        <w:widowControl/>
        <w:ind w:firstLine="632" w:firstLineChars="200"/>
        <w:jc w:val="left"/>
        <w:rPr>
          <w:rFonts w:hint="eastAsia" w:ascii="仿宋" w:hAnsi="仿宋" w:eastAsia="仿宋" w:cs="仿宋"/>
          <w:color w:val="000000"/>
          <w:sz w:val="32"/>
          <w:szCs w:val="32"/>
        </w:rPr>
      </w:pPr>
      <w:bookmarkStart w:id="6" w:name="PO_zw"/>
      <w:bookmarkEnd w:id="6"/>
      <w:r>
        <w:rPr>
          <w:rFonts w:hint="eastAsia" w:ascii="仿宋" w:hAnsi="仿宋" w:eastAsia="仿宋"/>
          <w:bCs/>
          <w:color w:val="auto"/>
        </w:rPr>
        <w:t>现将</w:t>
      </w:r>
      <w:r>
        <w:rPr>
          <w:rFonts w:hint="eastAsia" w:ascii="仿宋" w:hAnsi="仿宋" w:eastAsia="仿宋" w:cs="仿宋"/>
          <w:bCs w:val="0"/>
          <w:kern w:val="2"/>
          <w:sz w:val="32"/>
          <w:szCs w:val="36"/>
          <w:u w:val="none"/>
          <w:lang w:val="en-US" w:eastAsia="zh-CN" w:bidi="ar-SA"/>
        </w:rPr>
        <w:t>《</w:t>
      </w:r>
      <w:r>
        <w:rPr>
          <w:rFonts w:hint="eastAsia" w:ascii="仿宋" w:hAnsi="仿宋" w:eastAsia="仿宋"/>
          <w:sz w:val="32"/>
          <w:szCs w:val="36"/>
          <w:lang w:eastAsia="zh-CN"/>
        </w:rPr>
        <w:t>福建省省级中小微企业发展专项资金管理办法</w:t>
      </w:r>
      <w:r>
        <w:rPr>
          <w:rFonts w:hint="eastAsia" w:ascii="仿宋" w:hAnsi="仿宋" w:eastAsia="仿宋" w:cs="仿宋"/>
          <w:bCs w:val="0"/>
          <w:kern w:val="2"/>
          <w:sz w:val="32"/>
          <w:szCs w:val="36"/>
          <w:u w:val="none"/>
          <w:lang w:val="en-US" w:eastAsia="zh-CN" w:bidi="ar-SA"/>
        </w:rPr>
        <w:t>》</w:t>
      </w:r>
      <w:r>
        <w:rPr>
          <w:rFonts w:hint="eastAsia" w:ascii="仿宋" w:hAnsi="仿宋" w:eastAsia="仿宋" w:cs="仿宋"/>
          <w:bCs/>
          <w:color w:val="auto"/>
          <w:kern w:val="2"/>
          <w:sz w:val="32"/>
          <w:szCs w:val="32"/>
          <w:u w:val="none"/>
          <w:lang w:val="en-US" w:eastAsia="zh-CN" w:bidi="ar-SA"/>
        </w:rPr>
        <w:t>印发给你们，请遵照执行。</w:t>
      </w:r>
      <w:bookmarkStart w:id="7" w:name="PO_ffj"/>
      <w:bookmarkEnd w:id="7"/>
    </w:p>
    <w:tbl>
      <w:tblPr>
        <w:tblStyle w:val="5"/>
        <w:tblW w:w="5000" w:type="pct"/>
        <w:tblInd w:w="0" w:type="dxa"/>
        <w:tblLayout w:type="autofit"/>
        <w:tblCellMar>
          <w:top w:w="0" w:type="dxa"/>
          <w:left w:w="108" w:type="dxa"/>
          <w:bottom w:w="0" w:type="dxa"/>
          <w:right w:w="108" w:type="dxa"/>
        </w:tblCellMar>
      </w:tblPr>
      <w:tblGrid>
        <w:gridCol w:w="4530"/>
        <w:gridCol w:w="4531"/>
      </w:tblGrid>
      <w:tr>
        <w:tblPrEx>
          <w:tblCellMar>
            <w:top w:w="0" w:type="dxa"/>
            <w:left w:w="108" w:type="dxa"/>
            <w:bottom w:w="0" w:type="dxa"/>
            <w:right w:w="108" w:type="dxa"/>
          </w:tblCellMar>
        </w:tblPrEx>
        <w:trPr>
          <w:trHeight w:val="624" w:hRule="atLeast"/>
        </w:trPr>
        <w:tc>
          <w:tcPr>
            <w:tcW w:w="2500" w:type="pct"/>
            <w:noWrap w:val="0"/>
            <w:vAlign w:val="center"/>
          </w:tcPr>
          <w:p>
            <w:pPr>
              <w:spacing w:line="560" w:lineRule="exact"/>
              <w:jc w:val="center"/>
              <w:rPr>
                <w:rFonts w:hint="eastAsia" w:ascii="仿宋" w:hAnsi="仿宋" w:eastAsia="仿宋" w:cs="仿宋"/>
                <w:color w:val="000000"/>
                <w:sz w:val="32"/>
                <w:szCs w:val="32"/>
              </w:rPr>
            </w:pPr>
            <w:bookmarkStart w:id="8" w:name="PO_fyz"/>
            <w:bookmarkEnd w:id="8"/>
          </w:p>
          <w:p>
            <w:pPr>
              <w:spacing w:line="560" w:lineRule="exact"/>
              <w:jc w:val="center"/>
              <w:rPr>
                <w:rFonts w:hint="eastAsia" w:ascii="仿宋" w:hAnsi="仿宋" w:eastAsia="仿宋" w:cs="仿宋"/>
                <w:color w:val="000000"/>
                <w:sz w:val="32"/>
                <w:szCs w:val="32"/>
                <w:lang w:eastAsia="zh-CN"/>
              </w:rPr>
            </w:pPr>
            <w:bookmarkStart w:id="9" w:name="PO_fsm1"/>
            <w:r>
              <w:rPr>
                <w:rFonts w:hint="eastAsia" w:ascii="仿宋" w:hAnsi="仿宋" w:eastAsia="仿宋" w:cs="仿宋"/>
                <w:color w:val="000000"/>
                <w:sz w:val="32"/>
                <w:szCs w:val="32"/>
                <w:lang w:eastAsia="zh-CN"/>
              </w:rPr>
              <w:t>福建省财政厅</w:t>
            </w:r>
            <w:bookmarkEnd w:id="9"/>
          </w:p>
        </w:tc>
        <w:tc>
          <w:tcPr>
            <w:tcW w:w="2500" w:type="pct"/>
            <w:noWrap w:val="0"/>
            <w:vAlign w:val="center"/>
          </w:tcPr>
          <w:p>
            <w:pPr>
              <w:spacing w:line="560" w:lineRule="exact"/>
              <w:jc w:val="center"/>
              <w:rPr>
                <w:rFonts w:hint="eastAsia" w:ascii="仿宋" w:hAnsi="仿宋" w:eastAsia="仿宋" w:cs="仿宋"/>
                <w:color w:val="000000"/>
                <w:sz w:val="32"/>
                <w:szCs w:val="32"/>
              </w:rPr>
            </w:pPr>
          </w:p>
          <w:p>
            <w:pPr>
              <w:spacing w:line="560" w:lineRule="exact"/>
              <w:jc w:val="center"/>
              <w:rPr>
                <w:rFonts w:hint="eastAsia" w:ascii="仿宋" w:hAnsi="仿宋" w:eastAsia="仿宋" w:cs="仿宋"/>
                <w:color w:val="000000"/>
                <w:sz w:val="32"/>
                <w:szCs w:val="32"/>
              </w:rPr>
            </w:pPr>
            <w:bookmarkStart w:id="10" w:name="PO_fsm2"/>
            <w:r>
              <w:rPr>
                <w:rFonts w:hint="eastAsia" w:ascii="仿宋" w:hAnsi="仿宋" w:eastAsia="仿宋" w:cs="仿宋"/>
                <w:color w:val="000000"/>
                <w:sz w:val="32"/>
                <w:szCs w:val="32"/>
                <w:lang w:val="en-US" w:eastAsia="zh-CN"/>
              </w:rPr>
              <w:t>福建省工业和信息化厅</w:t>
            </w:r>
            <w:bookmarkEnd w:id="10"/>
          </w:p>
        </w:tc>
      </w:tr>
      <w:tr>
        <w:tblPrEx>
          <w:tblCellMar>
            <w:top w:w="0" w:type="dxa"/>
            <w:left w:w="108" w:type="dxa"/>
            <w:bottom w:w="0" w:type="dxa"/>
            <w:right w:w="108" w:type="dxa"/>
          </w:tblCellMar>
        </w:tblPrEx>
        <w:trPr>
          <w:trHeight w:val="308" w:hRule="atLeast"/>
        </w:trPr>
        <w:tc>
          <w:tcPr>
            <w:tcW w:w="5000" w:type="pct"/>
            <w:gridSpan w:val="2"/>
            <w:noWrap w:val="0"/>
            <w:vAlign w:val="bottom"/>
          </w:tcPr>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 w:hAnsi="仿宋" w:eastAsia="仿宋" w:cs="仿宋"/>
                <w:color w:val="000000"/>
                <w:sz w:val="32"/>
                <w:szCs w:val="32"/>
                <w:lang w:val="en-US"/>
              </w:rPr>
            </w:pPr>
            <w:bookmarkStart w:id="11" w:name="PO_fqfrq"/>
            <w:r>
              <w:rPr>
                <w:rFonts w:hint="eastAsia" w:ascii="仿宋" w:hAnsi="仿宋" w:eastAsia="仿宋" w:cs="仿宋"/>
                <w:color w:val="000000"/>
                <w:sz w:val="32"/>
                <w:szCs w:val="32"/>
                <w:lang w:val="en-US" w:eastAsia="zh-CN"/>
              </w:rPr>
              <w:t>2023年7月28日</w:t>
            </w:r>
            <w:bookmarkEnd w:id="11"/>
            <w:r>
              <w:rPr>
                <w:rFonts w:hint="eastAsia" w:ascii="仿宋" w:hAnsi="仿宋" w:eastAsia="仿宋" w:cs="仿宋"/>
                <w:color w:val="000000"/>
                <w:sz w:val="32"/>
                <w:szCs w:val="32"/>
                <w:lang w:val="en-US" w:eastAsia="zh-CN"/>
              </w:rPr>
              <w:t xml:space="preserve">       </w:t>
            </w:r>
          </w:p>
        </w:tc>
      </w:tr>
    </w:tbl>
    <w:p>
      <w:pPr>
        <w:widowControl/>
        <w:spacing w:line="516" w:lineRule="atLeast"/>
        <w:jc w:val="center"/>
        <w:rPr>
          <w:rFonts w:hint="eastAsia" w:ascii="方正大标宋简体" w:hAnsi="方正大标宋简体" w:eastAsia="方正大标宋简体" w:cs="方正大标宋简体"/>
          <w:b w:val="0"/>
          <w:bCs w:val="0"/>
          <w:color w:val="333333"/>
          <w:kern w:val="0"/>
          <w:sz w:val="44"/>
          <w:szCs w:val="44"/>
        </w:rPr>
      </w:pPr>
      <w:r>
        <w:rPr>
          <w:rFonts w:hint="eastAsia" w:ascii="方正大标宋简体" w:hAnsi="方正大标宋简体" w:eastAsia="方正大标宋简体" w:cs="方正大标宋简体"/>
          <w:b w:val="0"/>
          <w:bCs w:val="0"/>
          <w:color w:val="333333"/>
          <w:kern w:val="0"/>
          <w:sz w:val="44"/>
          <w:szCs w:val="44"/>
        </w:rPr>
        <w:t>福建省省级中小微企业发展</w:t>
      </w:r>
    </w:p>
    <w:p>
      <w:pPr>
        <w:widowControl/>
        <w:spacing w:line="516" w:lineRule="atLeast"/>
        <w:jc w:val="center"/>
        <w:rPr>
          <w:rFonts w:hint="eastAsia" w:ascii="方正大标宋简体" w:hAnsi="方正大标宋简体" w:eastAsia="方正大标宋简体" w:cs="方正大标宋简体"/>
          <w:b w:val="0"/>
          <w:bCs w:val="0"/>
          <w:color w:val="333333"/>
          <w:kern w:val="0"/>
          <w:sz w:val="44"/>
          <w:szCs w:val="44"/>
        </w:rPr>
      </w:pPr>
      <w:r>
        <w:rPr>
          <w:rFonts w:hint="eastAsia" w:ascii="方正大标宋简体" w:hAnsi="方正大标宋简体" w:eastAsia="方正大标宋简体" w:cs="方正大标宋简体"/>
          <w:b w:val="0"/>
          <w:bCs w:val="0"/>
          <w:color w:val="333333"/>
          <w:kern w:val="0"/>
          <w:sz w:val="44"/>
          <w:szCs w:val="44"/>
        </w:rPr>
        <w:t>专项资金管理办法</w:t>
      </w:r>
    </w:p>
    <w:p>
      <w:pPr>
        <w:widowControl/>
        <w:jc w:val="both"/>
        <w:rPr>
          <w:rFonts w:ascii="simsun" w:hAnsi="simsun" w:cs="宋体"/>
          <w:color w:val="333333"/>
          <w:kern w:val="0"/>
          <w:sz w:val="32"/>
          <w:szCs w:val="32"/>
        </w:rPr>
      </w:pPr>
      <w:r>
        <w:rPr>
          <w:rFonts w:ascii="simsun" w:hAnsi="simsun" w:cs="宋体"/>
          <w:color w:val="333333"/>
          <w:kern w:val="0"/>
          <w:sz w:val="32"/>
          <w:szCs w:val="32"/>
        </w:rPr>
        <w:t> </w:t>
      </w:r>
    </w:p>
    <w:p>
      <w:pPr>
        <w:widowControl/>
        <w:jc w:val="both"/>
        <w:rPr>
          <w:rFonts w:hint="eastAsia" w:ascii="仿宋" w:hAnsi="仿宋" w:eastAsia="仿宋" w:cs="仿宋"/>
          <w:color w:val="333333"/>
          <w:kern w:val="0"/>
          <w:sz w:val="32"/>
          <w:szCs w:val="32"/>
        </w:rPr>
      </w:pPr>
      <w:r>
        <w:rPr>
          <w:rFonts w:hint="eastAsia" w:ascii="楷体" w:hAnsi="楷体" w:eastAsia="楷体" w:cs="宋体"/>
          <w:color w:val="333333"/>
          <w:kern w:val="0"/>
          <w:sz w:val="32"/>
          <w:szCs w:val="32"/>
        </w:rPr>
        <w:t>　　</w:t>
      </w:r>
      <w:r>
        <w:rPr>
          <w:rFonts w:hint="eastAsia" w:ascii="仿宋" w:hAnsi="仿宋" w:eastAsia="仿宋" w:cs="仿宋"/>
          <w:b/>
          <w:bCs/>
          <w:color w:val="333333"/>
          <w:kern w:val="0"/>
          <w:sz w:val="32"/>
          <w:szCs w:val="32"/>
        </w:rPr>
        <w:t>第一条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为</w:t>
      </w:r>
      <w:r>
        <w:rPr>
          <w:rFonts w:hint="eastAsia" w:ascii="仿宋" w:hAnsi="仿宋" w:eastAsia="仿宋" w:cs="仿宋"/>
          <w:color w:val="333333"/>
          <w:kern w:val="0"/>
          <w:sz w:val="32"/>
          <w:szCs w:val="32"/>
          <w:lang w:eastAsia="zh-CN"/>
        </w:rPr>
        <w:t>加强和</w:t>
      </w:r>
      <w:r>
        <w:rPr>
          <w:rFonts w:hint="eastAsia" w:ascii="仿宋" w:hAnsi="仿宋" w:eastAsia="仿宋" w:cs="仿宋"/>
          <w:color w:val="333333"/>
          <w:kern w:val="0"/>
          <w:sz w:val="32"/>
          <w:szCs w:val="32"/>
        </w:rPr>
        <w:t>规范我省省级中小微企业发展专项资金管理，提高资金使用效益，根据</w:t>
      </w:r>
      <w:r>
        <w:rPr>
          <w:rFonts w:hint="eastAsia" w:ascii="仿宋" w:hAnsi="仿宋" w:eastAsia="仿宋" w:cs="仿宋"/>
          <w:color w:val="333333"/>
          <w:kern w:val="0"/>
          <w:sz w:val="32"/>
          <w:szCs w:val="32"/>
          <w:lang w:eastAsia="zh-CN"/>
        </w:rPr>
        <w:t>《中华人民共和国预算法》</w:t>
      </w:r>
      <w:r>
        <w:rPr>
          <w:rFonts w:hint="eastAsia" w:ascii="仿宋" w:hAnsi="仿宋" w:eastAsia="仿宋" w:cs="仿宋"/>
          <w:color w:val="333333"/>
          <w:kern w:val="0"/>
          <w:sz w:val="32"/>
          <w:szCs w:val="32"/>
        </w:rPr>
        <w:t>《中华人民共和国中小企业促进法》《福建省促进中小企业发展条例》《福建省省级财政专项资金管理办法》及有关规定，制定本办法。</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第二条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本办法所称省级中小微企业发展专项资金（以下简称“专项资金”）是指</w:t>
      </w:r>
      <w:r>
        <w:rPr>
          <w:rFonts w:hint="eastAsia" w:ascii="仿宋" w:hAnsi="仿宋" w:eastAsia="仿宋" w:cs="仿宋"/>
          <w:color w:val="333333"/>
          <w:kern w:val="0"/>
          <w:sz w:val="32"/>
          <w:szCs w:val="32"/>
          <w:lang w:eastAsia="zh-CN"/>
        </w:rPr>
        <w:t>根据</w:t>
      </w:r>
      <w:r>
        <w:rPr>
          <w:rFonts w:hint="eastAsia" w:ascii="仿宋" w:hAnsi="仿宋" w:eastAsia="仿宋" w:cs="仿宋"/>
          <w:color w:val="333333"/>
          <w:kern w:val="0"/>
          <w:sz w:val="32"/>
          <w:szCs w:val="32"/>
        </w:rPr>
        <w:t>《中华人民共和国中小企业促进法》</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省级财政预算安排用于优化我省中小微企业发展环境，促进我省中小微企业发展的纳入福建省工信厅部门预算的专项资金。</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中小微企业划型标准按照《工业和信息化部 国家统计局 国家发展和改革委 财政部关于印发中小企业划型标准规定的通知》（工信部联企业〔2011〕300号）执行，国家有关部委修订相关划型标准的，依照新规执行。</w:t>
      </w:r>
    </w:p>
    <w:p>
      <w:pPr>
        <w:widowControl/>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bCs/>
          <w:color w:val="333333"/>
          <w:kern w:val="0"/>
          <w:sz w:val="32"/>
          <w:szCs w:val="32"/>
        </w:rPr>
        <w:t>　第三条 </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color w:val="333333"/>
          <w:kern w:val="0"/>
          <w:sz w:val="32"/>
          <w:szCs w:val="32"/>
        </w:rPr>
        <w:t>专项资金的</w:t>
      </w:r>
      <w:r>
        <w:rPr>
          <w:rFonts w:hint="eastAsia" w:ascii="仿宋" w:hAnsi="仿宋" w:eastAsia="仿宋" w:cs="仿宋"/>
          <w:color w:val="333333"/>
          <w:kern w:val="0"/>
          <w:sz w:val="32"/>
          <w:szCs w:val="32"/>
          <w:lang w:eastAsia="zh-CN"/>
        </w:rPr>
        <w:t>使用</w:t>
      </w:r>
      <w:r>
        <w:rPr>
          <w:rFonts w:hint="eastAsia" w:ascii="仿宋" w:hAnsi="仿宋" w:eastAsia="仿宋" w:cs="仿宋"/>
          <w:color w:val="333333"/>
          <w:kern w:val="0"/>
          <w:sz w:val="32"/>
          <w:szCs w:val="32"/>
        </w:rPr>
        <w:t>应当遵循</w:t>
      </w:r>
      <w:r>
        <w:rPr>
          <w:rFonts w:hint="eastAsia" w:ascii="仿宋" w:hAnsi="仿宋" w:eastAsia="仿宋" w:cs="仿宋"/>
          <w:color w:val="333333"/>
          <w:kern w:val="0"/>
          <w:sz w:val="32"/>
          <w:szCs w:val="32"/>
          <w:lang w:eastAsia="zh-CN"/>
        </w:rPr>
        <w:t>科学合理</w:t>
      </w:r>
      <w:r>
        <w:rPr>
          <w:rFonts w:hint="eastAsia" w:ascii="仿宋" w:hAnsi="仿宋" w:eastAsia="仿宋" w:cs="仿宋"/>
          <w:color w:val="333333"/>
          <w:kern w:val="0"/>
          <w:sz w:val="32"/>
          <w:szCs w:val="32"/>
        </w:rPr>
        <w:t>、突出重点、</w:t>
      </w:r>
      <w:r>
        <w:rPr>
          <w:rFonts w:hint="eastAsia" w:ascii="仿宋" w:hAnsi="仿宋" w:eastAsia="仿宋" w:cs="仿宋"/>
          <w:color w:val="333333"/>
          <w:kern w:val="0"/>
          <w:sz w:val="32"/>
          <w:szCs w:val="32"/>
          <w:lang w:eastAsia="zh-CN"/>
        </w:rPr>
        <w:t>规范执行、</w:t>
      </w:r>
      <w:r>
        <w:rPr>
          <w:rFonts w:hint="eastAsia" w:ascii="仿宋" w:hAnsi="仿宋" w:eastAsia="仿宋" w:cs="仿宋"/>
          <w:color w:val="333333"/>
          <w:kern w:val="0"/>
          <w:sz w:val="32"/>
          <w:szCs w:val="32"/>
        </w:rPr>
        <w:t>加强监督</w:t>
      </w:r>
      <w:r>
        <w:rPr>
          <w:rFonts w:hint="eastAsia" w:ascii="仿宋" w:hAnsi="仿宋" w:eastAsia="仿宋" w:cs="仿宋"/>
          <w:color w:val="333333"/>
          <w:kern w:val="0"/>
          <w:sz w:val="32"/>
          <w:szCs w:val="32"/>
          <w:lang w:eastAsia="zh-CN"/>
        </w:rPr>
        <w:t>、注重绩效</w:t>
      </w:r>
      <w:r>
        <w:rPr>
          <w:rFonts w:hint="eastAsia" w:ascii="仿宋" w:hAnsi="仿宋" w:eastAsia="仿宋" w:cs="仿宋"/>
          <w:color w:val="333333"/>
          <w:kern w:val="0"/>
          <w:sz w:val="32"/>
          <w:szCs w:val="32"/>
        </w:rPr>
        <w:t>的原则。</w:t>
      </w:r>
    </w:p>
    <w:p>
      <w:pPr>
        <w:widowControl/>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w:t>
      </w:r>
      <w:r>
        <w:rPr>
          <w:rFonts w:hint="eastAsia" w:ascii="仿宋" w:hAnsi="仿宋" w:eastAsia="仿宋" w:cs="仿宋"/>
          <w:b/>
          <w:bCs/>
          <w:color w:val="333333"/>
          <w:kern w:val="0"/>
          <w:sz w:val="32"/>
          <w:szCs w:val="32"/>
        </w:rPr>
        <w:t>第四条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专项资金旨在引领带动各设区市</w:t>
      </w:r>
      <w:r>
        <w:rPr>
          <w:rFonts w:hint="eastAsia" w:ascii="仿宋" w:hAnsi="仿宋" w:eastAsia="仿宋" w:cs="仿宋"/>
          <w:color w:val="333333"/>
          <w:kern w:val="0"/>
          <w:sz w:val="32"/>
          <w:szCs w:val="32"/>
          <w:lang w:eastAsia="zh-CN"/>
        </w:rPr>
        <w:t>、平潭综合实验区</w:t>
      </w:r>
      <w:r>
        <w:rPr>
          <w:rFonts w:hint="eastAsia" w:ascii="仿宋" w:hAnsi="仿宋" w:eastAsia="仿宋" w:cs="仿宋"/>
          <w:color w:val="333333"/>
          <w:kern w:val="0"/>
          <w:sz w:val="32"/>
          <w:szCs w:val="32"/>
        </w:rPr>
        <w:t>积极探索政府扶持中小微企业发展的有效途径，支持改善中小微企业发展环境，加大对薄弱环节的投入，促进提升为中小微企业提供公共服务的能力，突破制约中小微企业发展的短板与瓶颈，建立扶持中小微企业发展的长效机制。</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第五条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专项资金由财政部门和工信部门</w:t>
      </w:r>
      <w:r>
        <w:rPr>
          <w:rFonts w:hint="eastAsia" w:ascii="仿宋" w:hAnsi="仿宋" w:eastAsia="仿宋" w:cs="仿宋"/>
          <w:color w:val="333333"/>
          <w:kern w:val="0"/>
          <w:sz w:val="32"/>
          <w:szCs w:val="32"/>
          <w:lang w:eastAsia="zh-CN"/>
        </w:rPr>
        <w:t>按下列职责分工进行管理</w:t>
      </w:r>
      <w:r>
        <w:rPr>
          <w:rFonts w:hint="eastAsia" w:ascii="仿宋" w:hAnsi="仿宋" w:eastAsia="仿宋" w:cs="仿宋"/>
          <w:color w:val="333333"/>
          <w:kern w:val="0"/>
          <w:sz w:val="32"/>
          <w:szCs w:val="32"/>
        </w:rPr>
        <w:t>。</w:t>
      </w:r>
    </w:p>
    <w:p>
      <w:pPr>
        <w:widowControl/>
        <w:ind w:firstLine="56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省财政厅负责组织专项资金预算的编制和执行，会同省工信厅拨付下达资金，监督专项资金支出活动，组织</w:t>
      </w:r>
      <w:r>
        <w:rPr>
          <w:rFonts w:hint="eastAsia" w:ascii="仿宋" w:hAnsi="仿宋" w:eastAsia="仿宋" w:cs="仿宋"/>
          <w:color w:val="333333"/>
          <w:kern w:val="0"/>
          <w:sz w:val="32"/>
          <w:szCs w:val="32"/>
          <w:lang w:eastAsia="zh-CN"/>
        </w:rPr>
        <w:t>开展</w:t>
      </w:r>
      <w:r>
        <w:rPr>
          <w:rFonts w:hint="eastAsia" w:ascii="仿宋" w:hAnsi="仿宋" w:eastAsia="仿宋" w:cs="仿宋"/>
          <w:color w:val="333333"/>
          <w:kern w:val="0"/>
          <w:sz w:val="32"/>
          <w:szCs w:val="32"/>
        </w:rPr>
        <w:t>预算绩效管理</w:t>
      </w:r>
      <w:r>
        <w:rPr>
          <w:rFonts w:hint="eastAsia" w:ascii="仿宋" w:hAnsi="仿宋" w:eastAsia="仿宋" w:cs="仿宋"/>
          <w:color w:val="333333"/>
          <w:kern w:val="0"/>
          <w:sz w:val="32"/>
          <w:szCs w:val="32"/>
          <w:lang w:eastAsia="zh-CN"/>
        </w:rPr>
        <w:t>，强化绩效结果应用</w:t>
      </w:r>
      <w:r>
        <w:rPr>
          <w:rFonts w:hint="eastAsia" w:ascii="仿宋" w:hAnsi="仿宋" w:eastAsia="仿宋" w:cs="仿宋"/>
          <w:color w:val="333333"/>
          <w:kern w:val="0"/>
          <w:sz w:val="32"/>
          <w:szCs w:val="32"/>
        </w:rPr>
        <w:t>。</w:t>
      </w:r>
    </w:p>
    <w:p>
      <w:pPr>
        <w:widowControl/>
        <w:ind w:firstLine="56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省工信厅负责研究提出专项资金支持方向，提出专项资金绩效目标并按确定的绩效目标对专项资金实施绩效监控</w:t>
      </w:r>
      <w:r>
        <w:rPr>
          <w:rFonts w:hint="eastAsia" w:ascii="仿宋" w:hAnsi="仿宋" w:eastAsia="仿宋" w:cs="仿宋"/>
          <w:color w:val="333333"/>
          <w:kern w:val="0"/>
          <w:sz w:val="32"/>
          <w:szCs w:val="32"/>
          <w:lang w:eastAsia="zh-CN"/>
        </w:rPr>
        <w:t>，开展</w:t>
      </w:r>
      <w:r>
        <w:rPr>
          <w:rFonts w:hint="eastAsia" w:ascii="仿宋" w:hAnsi="仿宋" w:eastAsia="仿宋" w:cs="仿宋"/>
          <w:color w:val="333333"/>
          <w:kern w:val="0"/>
          <w:sz w:val="32"/>
          <w:szCs w:val="32"/>
        </w:rPr>
        <w:t>绩效评价，加强绩效结果应用，落实</w:t>
      </w:r>
      <w:r>
        <w:rPr>
          <w:rFonts w:hint="eastAsia" w:ascii="仿宋" w:hAnsi="仿宋" w:eastAsia="仿宋" w:cs="仿宋"/>
          <w:color w:val="333333"/>
          <w:kern w:val="0"/>
          <w:sz w:val="32"/>
          <w:szCs w:val="32"/>
          <w:lang w:eastAsia="zh-CN"/>
        </w:rPr>
        <w:t>专项</w:t>
      </w:r>
      <w:r>
        <w:rPr>
          <w:rFonts w:hint="eastAsia" w:ascii="仿宋" w:hAnsi="仿宋" w:eastAsia="仿宋" w:cs="仿宋"/>
          <w:color w:val="333333"/>
          <w:kern w:val="0"/>
          <w:sz w:val="32"/>
          <w:szCs w:val="32"/>
        </w:rPr>
        <w:t>资金绩效管理主体责任，对申请使用专项资金的申报材料组织审核，提出专项资金的分配方案。</w:t>
      </w:r>
    </w:p>
    <w:p>
      <w:pPr>
        <w:widowControl/>
        <w:ind w:firstLine="562"/>
        <w:jc w:val="both"/>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各设区市、平潭综合实验区财政部门负责</w:t>
      </w:r>
      <w:r>
        <w:rPr>
          <w:rFonts w:hint="eastAsia" w:ascii="仿宋" w:hAnsi="仿宋" w:eastAsia="仿宋" w:cs="仿宋"/>
          <w:color w:val="333333"/>
          <w:kern w:val="0"/>
          <w:sz w:val="32"/>
          <w:szCs w:val="32"/>
          <w:lang w:eastAsia="zh-CN"/>
        </w:rPr>
        <w:t>组织转移支付资金预算的编制和执行，对资金支出进行监督并组织开展预算绩效管理工作。</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各设区市、平潭综合实验区工信部门</w:t>
      </w:r>
      <w:r>
        <w:rPr>
          <w:rFonts w:hint="eastAsia" w:ascii="仿宋" w:hAnsi="仿宋" w:eastAsia="仿宋" w:cs="仿宋"/>
          <w:color w:val="333333"/>
          <w:kern w:val="0"/>
          <w:sz w:val="32"/>
          <w:szCs w:val="32"/>
          <w:lang w:eastAsia="zh-CN"/>
        </w:rPr>
        <w:t>负责编制转移支付资金支出预算，</w:t>
      </w:r>
      <w:r>
        <w:rPr>
          <w:rFonts w:hint="eastAsia" w:ascii="仿宋" w:hAnsi="仿宋" w:eastAsia="仿宋" w:cs="仿宋"/>
          <w:color w:val="333333"/>
          <w:kern w:val="0"/>
          <w:sz w:val="32"/>
          <w:szCs w:val="32"/>
        </w:rPr>
        <w:t>结合本地区实际，按照相关规定</w:t>
      </w:r>
      <w:r>
        <w:rPr>
          <w:rFonts w:hint="eastAsia" w:ascii="仿宋" w:hAnsi="仿宋" w:eastAsia="仿宋" w:cs="仿宋"/>
          <w:color w:val="333333"/>
          <w:kern w:val="0"/>
          <w:sz w:val="32"/>
          <w:szCs w:val="32"/>
          <w:lang w:eastAsia="zh-CN"/>
        </w:rPr>
        <w:t>组织项目</w:t>
      </w:r>
      <w:r>
        <w:rPr>
          <w:rFonts w:hint="eastAsia" w:ascii="仿宋" w:hAnsi="仿宋" w:eastAsia="仿宋" w:cs="仿宋"/>
          <w:color w:val="333333"/>
          <w:kern w:val="0"/>
          <w:sz w:val="32"/>
          <w:szCs w:val="32"/>
        </w:rPr>
        <w:t>申报</w:t>
      </w:r>
      <w:r>
        <w:rPr>
          <w:rFonts w:hint="eastAsia" w:ascii="仿宋" w:hAnsi="仿宋" w:eastAsia="仿宋" w:cs="仿宋"/>
          <w:color w:val="333333"/>
          <w:kern w:val="0"/>
          <w:sz w:val="32"/>
          <w:szCs w:val="32"/>
          <w:lang w:eastAsia="zh-CN"/>
        </w:rPr>
        <w:t>、评审，执行已批复专项资金支出预算，提出绩效目标并实施绩效跟踪和评价，监督专项资金使用。</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w:t>
      </w:r>
      <w:r>
        <w:rPr>
          <w:rFonts w:hint="eastAsia" w:ascii="仿宋" w:hAnsi="仿宋" w:eastAsia="仿宋" w:cs="仿宋"/>
          <w:b/>
          <w:bCs/>
          <w:color w:val="333333"/>
          <w:kern w:val="0"/>
          <w:sz w:val="32"/>
          <w:szCs w:val="32"/>
          <w:lang w:eastAsia="zh-CN"/>
        </w:rPr>
        <w:t>六</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专项资金支持范围包括：</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（一）提升“党企新时空·政企直通车”服务效能；</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（二）培育优质中小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企业，鼓励“新技术、新产业、新模式、新业态”中小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企业发展，支持开展中小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企业创业创新活动，推进创业创新载体建设；</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（三）开展中小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企业发展政策宣传，支持中小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企业开拓市场；</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（四）完善中小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企业公共服务体系，开展中小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企业生产经营运行监测，</w:t>
      </w:r>
      <w:r>
        <w:rPr>
          <w:rFonts w:hint="eastAsia" w:ascii="仿宋" w:hAnsi="仿宋" w:eastAsia="仿宋" w:cs="仿宋"/>
          <w:color w:val="333333"/>
          <w:kern w:val="0"/>
          <w:sz w:val="32"/>
          <w:szCs w:val="32"/>
          <w:lang w:eastAsia="zh-CN"/>
        </w:rPr>
        <w:t>开展中小微企业发展环境评估</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优化中小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企业发展环境；</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（五）推动产融合作，改善中小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企业融资环境；</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（六）组织实施中小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企业经营管理提升活动，促进中小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企业创新管理、提质增效；</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（七）完善中小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企业梯度培养机制，打造中小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企业梯次发展成长链条；</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（八）配套国家相关扶持资金使用；</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（九）省委</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省政府确定的促进我省中小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企业发展的</w:t>
      </w:r>
      <w:r>
        <w:rPr>
          <w:rFonts w:hint="eastAsia" w:ascii="仿宋" w:hAnsi="仿宋" w:eastAsia="仿宋" w:cs="仿宋"/>
          <w:color w:val="333333"/>
          <w:kern w:val="0"/>
          <w:sz w:val="32"/>
          <w:szCs w:val="32"/>
          <w:lang w:eastAsia="zh-CN"/>
        </w:rPr>
        <w:t>其他</w:t>
      </w:r>
      <w:r>
        <w:rPr>
          <w:rFonts w:hint="eastAsia" w:ascii="仿宋" w:hAnsi="仿宋" w:eastAsia="仿宋" w:cs="仿宋"/>
          <w:color w:val="333333"/>
          <w:kern w:val="0"/>
          <w:sz w:val="32"/>
          <w:szCs w:val="32"/>
        </w:rPr>
        <w:t>相关工作。</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中小</w:t>
      </w:r>
      <w:r>
        <w:rPr>
          <w:rFonts w:hint="eastAsia" w:ascii="仿宋" w:hAnsi="仿宋" w:eastAsia="仿宋" w:cs="仿宋"/>
          <w:color w:val="333333"/>
          <w:kern w:val="0"/>
          <w:sz w:val="32"/>
          <w:szCs w:val="32"/>
          <w:lang w:eastAsia="zh-CN"/>
        </w:rPr>
        <w:t>微</w:t>
      </w:r>
      <w:r>
        <w:rPr>
          <w:rFonts w:hint="eastAsia" w:ascii="仿宋" w:hAnsi="仿宋" w:eastAsia="仿宋" w:cs="仿宋"/>
          <w:color w:val="333333"/>
          <w:kern w:val="0"/>
          <w:sz w:val="32"/>
          <w:szCs w:val="32"/>
        </w:rPr>
        <w:t>企业获得</w:t>
      </w:r>
      <w:r>
        <w:rPr>
          <w:rFonts w:hint="eastAsia" w:ascii="仿宋" w:hAnsi="仿宋" w:eastAsia="仿宋" w:cs="仿宋"/>
          <w:color w:val="333333"/>
          <w:kern w:val="0"/>
          <w:sz w:val="32"/>
          <w:szCs w:val="32"/>
          <w:lang w:eastAsia="zh-CN"/>
        </w:rPr>
        <w:t>本专项资金中安排的</w:t>
      </w:r>
      <w:r>
        <w:rPr>
          <w:rFonts w:hint="eastAsia" w:ascii="仿宋" w:hAnsi="仿宋" w:eastAsia="仿宋" w:cs="仿宋"/>
          <w:color w:val="333333"/>
          <w:kern w:val="0"/>
          <w:sz w:val="32"/>
          <w:szCs w:val="32"/>
        </w:rPr>
        <w:t>贷款贴息、认定类和奖励类项目的省级资金补助，可同时享受其他省级资金补助。</w:t>
      </w:r>
    </w:p>
    <w:p>
      <w:pPr>
        <w:widowControl/>
        <w:ind w:firstLine="562"/>
        <w:jc w:val="both"/>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第</w:t>
      </w:r>
      <w:r>
        <w:rPr>
          <w:rFonts w:hint="eastAsia" w:ascii="仿宋" w:hAnsi="仿宋" w:eastAsia="仿宋" w:cs="仿宋"/>
          <w:b/>
          <w:bCs/>
          <w:color w:val="333333"/>
          <w:kern w:val="0"/>
          <w:sz w:val="32"/>
          <w:szCs w:val="32"/>
          <w:lang w:eastAsia="zh-CN"/>
        </w:rPr>
        <w:t>七</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专项资金可采用项目法、因素法、项目法与因素法相结合等方式分配。</w:t>
      </w:r>
    </w:p>
    <w:p>
      <w:pPr>
        <w:widowControl/>
        <w:numPr>
          <w:ilvl w:val="0"/>
          <w:numId w:val="1"/>
        </w:numPr>
        <w:ind w:firstLine="562"/>
        <w:jc w:val="both"/>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采取项目法分配的专项资金，由省工信厅印发申报指南，明确项目支持标准等内容，同时按照相关要求及时建立更新完善项目库，确保资金分配与项目实施保持一致。</w:t>
      </w:r>
    </w:p>
    <w:p>
      <w:pPr>
        <w:widowControl/>
        <w:numPr>
          <w:ilvl w:val="0"/>
          <w:numId w:val="1"/>
        </w:numPr>
        <w:ind w:firstLine="562"/>
        <w:jc w:val="both"/>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采取因素法分配的专项资金，根据相关支出方向、政策任务及上年度资金使用情况等因素及权重，由省工信厅商省财政厅研究提出资金分配方案。</w:t>
      </w:r>
    </w:p>
    <w:p>
      <w:pPr>
        <w:widowControl/>
        <w:numPr>
          <w:ilvl w:val="0"/>
          <w:numId w:val="1"/>
        </w:numPr>
        <w:ind w:firstLine="562"/>
        <w:jc w:val="both"/>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采取项目法与因素法相结合的方式分配的奖励性资金，省工信厅会同省财政厅制定奖励政策，明确奖励标准等。</w:t>
      </w:r>
    </w:p>
    <w:p>
      <w:pPr>
        <w:widowControl/>
        <w:numPr>
          <w:ilvl w:val="0"/>
          <w:numId w:val="1"/>
        </w:numPr>
        <w:ind w:firstLine="562"/>
        <w:jc w:val="both"/>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涉及政府采购、政府购买服务项目，按照政府采购、政府购买服务有关规定执行。</w:t>
      </w:r>
    </w:p>
    <w:p>
      <w:pPr>
        <w:widowControl/>
        <w:ind w:firstLine="632" w:firstLineChars="200"/>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w:t>
      </w:r>
      <w:r>
        <w:rPr>
          <w:rFonts w:hint="eastAsia" w:ascii="仿宋" w:hAnsi="仿宋" w:eastAsia="仿宋" w:cs="仿宋"/>
          <w:b/>
          <w:bCs/>
          <w:color w:val="333333"/>
          <w:kern w:val="0"/>
          <w:sz w:val="32"/>
          <w:szCs w:val="32"/>
          <w:lang w:eastAsia="zh-CN"/>
        </w:rPr>
        <w:t>八</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省工信厅</w:t>
      </w:r>
      <w:r>
        <w:rPr>
          <w:rFonts w:hint="eastAsia" w:ascii="仿宋" w:hAnsi="仿宋" w:eastAsia="仿宋" w:cs="仿宋"/>
          <w:color w:val="333333"/>
          <w:kern w:val="0"/>
          <w:sz w:val="32"/>
          <w:szCs w:val="32"/>
          <w:lang w:eastAsia="zh-CN"/>
        </w:rPr>
        <w:t>会同省财政厅结合年度工作重点和年初预算批复的中小微企业发展专项资金额度，合理制定专项资金分配方案和具体奖补政策。</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w:t>
      </w:r>
      <w:r>
        <w:rPr>
          <w:rFonts w:hint="eastAsia" w:ascii="仿宋" w:hAnsi="仿宋" w:eastAsia="仿宋" w:cs="仿宋"/>
          <w:b/>
          <w:bCs/>
          <w:color w:val="333333"/>
          <w:kern w:val="0"/>
          <w:sz w:val="32"/>
          <w:szCs w:val="32"/>
          <w:lang w:eastAsia="zh-CN"/>
        </w:rPr>
        <w:t>九</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每年10月31日前，省财政厅会同省工信厅将下一年度专项资金预计数提前下达到市</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县</w:t>
      </w:r>
      <w:r>
        <w:rPr>
          <w:rFonts w:hint="eastAsia" w:ascii="仿宋" w:hAnsi="仿宋" w:eastAsia="仿宋" w:cs="仿宋"/>
          <w:color w:val="333333"/>
          <w:kern w:val="0"/>
          <w:sz w:val="32"/>
          <w:szCs w:val="32"/>
          <w:lang w:eastAsia="zh-CN"/>
        </w:rPr>
        <w:t>（区）</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eastAsia="zh-CN"/>
        </w:rPr>
        <w:t>待年度预算执行中进行清算</w:t>
      </w:r>
      <w:r>
        <w:rPr>
          <w:rFonts w:hint="eastAsia" w:ascii="仿宋" w:hAnsi="仿宋" w:eastAsia="仿宋" w:cs="仿宋"/>
          <w:color w:val="333333"/>
          <w:kern w:val="0"/>
          <w:sz w:val="32"/>
          <w:szCs w:val="32"/>
        </w:rPr>
        <w:t>。提前下达资金比例一般不低于本年度转移支付预计执行数的70%，剩余资金待省人大批准预算后按规定时限下达。</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转移支付资金在</w:t>
      </w:r>
      <w:r>
        <w:rPr>
          <w:rFonts w:hint="eastAsia" w:ascii="仿宋" w:hAnsi="仿宋" w:eastAsia="仿宋" w:cs="仿宋"/>
          <w:color w:val="333333"/>
          <w:kern w:val="0"/>
          <w:sz w:val="32"/>
          <w:szCs w:val="32"/>
        </w:rPr>
        <w:t>当年完成绩效目标后仍有结转结余的，可以用于本办法第</w:t>
      </w:r>
      <w:r>
        <w:rPr>
          <w:rFonts w:hint="eastAsia" w:ascii="仿宋" w:hAnsi="仿宋" w:eastAsia="仿宋" w:cs="仿宋"/>
          <w:color w:val="333333"/>
          <w:kern w:val="0"/>
          <w:sz w:val="32"/>
          <w:szCs w:val="32"/>
          <w:lang w:eastAsia="zh-CN"/>
        </w:rPr>
        <w:t>六</w:t>
      </w:r>
      <w:r>
        <w:rPr>
          <w:rFonts w:hint="eastAsia" w:ascii="仿宋" w:hAnsi="仿宋" w:eastAsia="仿宋" w:cs="仿宋"/>
          <w:color w:val="333333"/>
          <w:kern w:val="0"/>
          <w:sz w:val="32"/>
          <w:szCs w:val="32"/>
        </w:rPr>
        <w:t>条规定的支持范围，并按照有关结转结余资金的使用和管理办法执行。各设区市、平潭综合实验区财政</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工信部门</w:t>
      </w:r>
      <w:r>
        <w:rPr>
          <w:rFonts w:hint="eastAsia" w:ascii="仿宋" w:hAnsi="仿宋" w:eastAsia="仿宋" w:cs="仿宋"/>
          <w:color w:val="333333"/>
          <w:kern w:val="0"/>
          <w:sz w:val="32"/>
          <w:szCs w:val="32"/>
          <w:lang w:eastAsia="zh-CN"/>
        </w:rPr>
        <w:t>应将每季度转移支付资金使用进度情况于季度结束后</w:t>
      </w:r>
      <w:r>
        <w:rPr>
          <w:rFonts w:hint="eastAsia" w:ascii="仿宋" w:hAnsi="仿宋" w:eastAsia="仿宋" w:cs="仿宋"/>
          <w:color w:val="333333"/>
          <w:kern w:val="0"/>
          <w:sz w:val="32"/>
          <w:szCs w:val="32"/>
          <w:lang w:val="en-US" w:eastAsia="zh-CN"/>
        </w:rPr>
        <w:t>15日内上报省财政厅、省工信厅，将每年度转移支付资金使用管理情况、绩效评价情况于次年3月底前上报省财政厅、省工信厅。</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一</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按照全面实施预算绩效管理要求，</w:t>
      </w:r>
      <w:r>
        <w:rPr>
          <w:rFonts w:hint="eastAsia" w:ascii="仿宋" w:hAnsi="仿宋" w:eastAsia="仿宋" w:cs="仿宋"/>
          <w:color w:val="333333"/>
          <w:kern w:val="0"/>
          <w:sz w:val="32"/>
          <w:szCs w:val="32"/>
        </w:rPr>
        <w:t>省工信厅应当按照绩效目标对专项资金进行绩效监控</w:t>
      </w:r>
      <w:r>
        <w:rPr>
          <w:rFonts w:hint="eastAsia" w:ascii="仿宋" w:hAnsi="仿宋" w:eastAsia="仿宋" w:cs="仿宋"/>
          <w:color w:val="333333"/>
          <w:kern w:val="0"/>
          <w:sz w:val="32"/>
          <w:szCs w:val="32"/>
          <w:lang w:eastAsia="zh-CN"/>
        </w:rPr>
        <w:t>，发现问题及时纠正；开展</w:t>
      </w:r>
      <w:r>
        <w:rPr>
          <w:rFonts w:hint="eastAsia" w:ascii="仿宋" w:hAnsi="仿宋" w:eastAsia="仿宋" w:cs="仿宋"/>
          <w:color w:val="333333"/>
          <w:kern w:val="0"/>
          <w:sz w:val="32"/>
          <w:szCs w:val="32"/>
        </w:rPr>
        <w:t>绩效评价，加强绩效结果应用。省财政厅</w:t>
      </w:r>
      <w:r>
        <w:rPr>
          <w:rFonts w:hint="eastAsia" w:ascii="仿宋" w:hAnsi="仿宋" w:eastAsia="仿宋" w:cs="仿宋"/>
          <w:color w:val="333333"/>
          <w:kern w:val="0"/>
          <w:sz w:val="32"/>
          <w:szCs w:val="32"/>
          <w:lang w:eastAsia="zh-CN"/>
        </w:rPr>
        <w:t>根据工作需要开展财政重点绩效</w:t>
      </w:r>
      <w:r>
        <w:rPr>
          <w:rFonts w:hint="eastAsia" w:ascii="仿宋" w:hAnsi="仿宋" w:eastAsia="仿宋" w:cs="仿宋"/>
          <w:color w:val="333333"/>
          <w:kern w:val="0"/>
          <w:sz w:val="32"/>
          <w:szCs w:val="32"/>
        </w:rPr>
        <w:t>评价，绩效评价结果作为改进管理、</w:t>
      </w:r>
      <w:r>
        <w:rPr>
          <w:rFonts w:hint="eastAsia" w:ascii="仿宋" w:hAnsi="仿宋" w:eastAsia="仿宋" w:cs="仿宋"/>
          <w:color w:val="333333"/>
          <w:kern w:val="0"/>
          <w:sz w:val="32"/>
          <w:szCs w:val="32"/>
          <w:lang w:eastAsia="zh-CN"/>
        </w:rPr>
        <w:t>完善政策、预算安排的</w:t>
      </w:r>
      <w:r>
        <w:rPr>
          <w:rFonts w:hint="eastAsia" w:ascii="仿宋" w:hAnsi="仿宋" w:eastAsia="仿宋" w:cs="仿宋"/>
          <w:color w:val="333333"/>
          <w:kern w:val="0"/>
          <w:sz w:val="32"/>
          <w:szCs w:val="32"/>
        </w:rPr>
        <w:t>重要依据。</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二</w:t>
      </w:r>
      <w:r>
        <w:rPr>
          <w:rFonts w:hint="eastAsia" w:ascii="仿宋" w:hAnsi="仿宋" w:eastAsia="仿宋" w:cs="仿宋"/>
          <w:b/>
          <w:bCs/>
          <w:color w:val="333333"/>
          <w:kern w:val="0"/>
          <w:sz w:val="32"/>
          <w:szCs w:val="32"/>
        </w:rPr>
        <w:t>条</w:t>
      </w: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color w:val="333333"/>
          <w:kern w:val="0"/>
          <w:sz w:val="32"/>
          <w:szCs w:val="32"/>
        </w:rPr>
        <w:t>专项资金应当按照规定的用途和范围分配使用，任何部门和单位不得截留、挤占和挪用。专项资金的支付按照财政国库管理制度有关规定执行。</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三</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项目实施单位应当严格按照国家和省有关规定管理和使用项目资金，并自觉接受财政、监察、审计、工信等部门监督检查。</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四</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专项资金使用管理中存在虚报、冒领、截留、挪用等违法行为的,除责令将资金归还原有渠道或收回财政外，应当按照《中华人民共和国预算法》《财政违法行为处罚处分条例》等有关规定对相关部门和单位予以处理，并依法追究相关责任人的责任。</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五</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对未能独立客观地发布意见，在专项资金申报、评审等有关工作中存在虚假、伪造行为的专家或者市场中介组织，按照有关法律、法规、规章的规定进行处理。</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六</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国家机关工作人员在专项资金管理活动中滥用职权、玩忽职守、徇私舞弊的，依法追究行政责任；构成犯罪的，依法追究刑事责任。</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七</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本办法由省财政厅会同省工信厅负责解释。</w:t>
      </w:r>
    </w:p>
    <w:p>
      <w:pPr>
        <w:widowControl/>
        <w:ind w:firstLine="562"/>
        <w:jc w:val="both"/>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第十</w:t>
      </w:r>
      <w:r>
        <w:rPr>
          <w:rFonts w:hint="eastAsia" w:ascii="仿宋" w:hAnsi="仿宋" w:eastAsia="仿宋" w:cs="仿宋"/>
          <w:b/>
          <w:bCs/>
          <w:color w:val="333333"/>
          <w:kern w:val="0"/>
          <w:sz w:val="32"/>
          <w:szCs w:val="32"/>
          <w:lang w:eastAsia="zh-CN"/>
        </w:rPr>
        <w:t>八</w:t>
      </w:r>
      <w:r>
        <w:rPr>
          <w:rFonts w:hint="eastAsia" w:ascii="仿宋" w:hAnsi="仿宋" w:eastAsia="仿宋" w:cs="仿宋"/>
          <w:b/>
          <w:bCs/>
          <w:color w:val="333333"/>
          <w:kern w:val="0"/>
          <w:sz w:val="32"/>
          <w:szCs w:val="32"/>
        </w:rPr>
        <w:t>条</w:t>
      </w: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本办法自印发之日起施行，</w:t>
      </w:r>
      <w:r>
        <w:rPr>
          <w:rFonts w:hint="eastAsia" w:ascii="仿宋" w:hAnsi="仿宋" w:eastAsia="仿宋" w:cs="仿宋"/>
          <w:color w:val="333333"/>
          <w:kern w:val="0"/>
          <w:sz w:val="32"/>
          <w:szCs w:val="32"/>
          <w:lang w:eastAsia="zh-CN"/>
        </w:rPr>
        <w:t>实施期至</w:t>
      </w:r>
      <w:r>
        <w:rPr>
          <w:rFonts w:hint="eastAsia" w:ascii="仿宋" w:hAnsi="仿宋" w:eastAsia="仿宋" w:cs="仿宋"/>
          <w:color w:val="333333"/>
          <w:kern w:val="0"/>
          <w:sz w:val="32"/>
          <w:szCs w:val="32"/>
          <w:lang w:val="en-US" w:eastAsia="zh-CN"/>
        </w:rPr>
        <w:t>2025年12月31日</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《福建省财政厅 福建省工业和信息化厅关于印发&lt;福建省省级中小微企业发展专项资金管理暂行办法&gt;的通知》（闽财企〔2021〕18号）同时废止。</w:t>
      </w:r>
    </w:p>
    <w:p>
      <w:pPr>
        <w:rPr>
          <w:rFonts w:hint="eastAsia" w:ascii="仿宋" w:hAnsi="仿宋" w:eastAsia="仿宋"/>
        </w:rPr>
      </w:pPr>
    </w:p>
    <w:p>
      <w:pPr>
        <w:rPr>
          <w:rFonts w:hint="eastAsia" w:ascii="仿宋" w:hAnsi="仿宋" w:eastAsia="仿宋" w:cs="仿宋"/>
          <w:color w:val="000000"/>
          <w:sz w:val="32"/>
          <w:szCs w:val="32"/>
          <w:lang w:eastAsia="zh-CN"/>
        </w:rPr>
      </w:pPr>
    </w:p>
    <w:p>
      <w:pPr>
        <w:rPr>
          <w:rFonts w:hint="eastAsia" w:ascii="仿宋" w:hAnsi="仿宋" w:eastAsia="仿宋" w:cs="仿宋"/>
          <w:sz w:val="32"/>
          <w:szCs w:val="36"/>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page">
              <wp:posOffset>4598670</wp:posOffset>
            </wp:positionH>
            <wp:positionV relativeFrom="page">
              <wp:posOffset>9622790</wp:posOffset>
            </wp:positionV>
            <wp:extent cx="1892300" cy="444500"/>
            <wp:effectExtent l="0" t="0" r="12700" b="12700"/>
            <wp:wrapNone/>
            <wp:docPr id="6" name="barcode" descr="9011001230012403"/>
            <wp:cNvGraphicFramePr/>
            <a:graphic xmlns:a="http://schemas.openxmlformats.org/drawingml/2006/main">
              <a:graphicData uri="http://schemas.openxmlformats.org/drawingml/2006/picture">
                <pic:pic xmlns:pic="http://schemas.openxmlformats.org/drawingml/2006/picture">
                  <pic:nvPicPr>
                    <pic:cNvPr id="6" name="barcode" descr="9011001230012403"/>
                    <pic:cNvPicPr/>
                  </pic:nvPicPr>
                  <pic:blipFill>
                    <a:blip r:embed="rId10"/>
                    <a:stretch>
                      <a:fillRect/>
                    </a:stretch>
                  </pic:blipFill>
                  <pic:spPr>
                    <a:xfrm>
                      <a:off x="0" y="0"/>
                      <a:ext cx="1892300" cy="444500"/>
                    </a:xfrm>
                    <a:prstGeom prst="rect">
                      <a:avLst/>
                    </a:prstGeom>
                  </pic:spPr>
                </pic:pic>
              </a:graphicData>
            </a:graphic>
          </wp:anchor>
        </w:drawing>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tbl>
      <w:tblPr>
        <w:tblStyle w:val="5"/>
        <w:tblpPr w:leftFromText="180" w:rightFromText="180" w:vertAnchor="page" w:horzAnchor="page" w:tblpX="1645" w:tblpY="13722"/>
        <w:tblOverlap w:val="never"/>
        <w:tblW w:w="4885" w:type="pct"/>
        <w:tblInd w:w="0" w:type="dxa"/>
        <w:tblLayout w:type="autofit"/>
        <w:tblCellMar>
          <w:top w:w="0" w:type="dxa"/>
          <w:left w:w="0" w:type="dxa"/>
          <w:bottom w:w="0" w:type="dxa"/>
          <w:right w:w="0" w:type="dxa"/>
        </w:tblCellMar>
      </w:tblPr>
      <w:tblGrid>
        <w:gridCol w:w="4216"/>
        <w:gridCol w:w="4426"/>
      </w:tblGrid>
      <w:tr>
        <w:tblPrEx>
          <w:tblCellMar>
            <w:top w:w="0" w:type="dxa"/>
            <w:left w:w="0" w:type="dxa"/>
            <w:bottom w:w="0" w:type="dxa"/>
            <w:right w:w="0" w:type="dxa"/>
          </w:tblCellMar>
        </w:tblPrEx>
        <w:trPr>
          <w:trHeight w:val="567" w:hRule="atLeast"/>
        </w:trPr>
        <w:tc>
          <w:tcPr>
            <w:tcW w:w="5000" w:type="pct"/>
            <w:gridSpan w:val="2"/>
            <w:tcBorders>
              <w:top w:val="nil"/>
              <w:left w:val="nil"/>
              <w:bottom w:val="single" w:color="auto" w:sz="12" w:space="0"/>
              <w:right w:val="nil"/>
            </w:tcBorders>
            <w:noWrap w:val="0"/>
            <w:vAlign w:val="center"/>
          </w:tcPr>
          <w:p>
            <w:pPr>
              <w:spacing w:after="100" w:afterAutospacing="1" w:line="460" w:lineRule="exact"/>
              <w:ind w:right="205" w:rightChars="65" w:firstLine="0" w:firstLineChars="0"/>
              <w:textAlignment w:val="bottom"/>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信息公开类型：</w:t>
            </w:r>
            <w:bookmarkStart w:id="12" w:name="PO_fgklx"/>
            <w:r>
              <w:rPr>
                <w:rFonts w:hint="eastAsia" w:ascii="仿宋" w:hAnsi="仿宋" w:eastAsia="仿宋" w:cs="仿宋_GB2312"/>
                <w:color w:val="000000"/>
                <w:sz w:val="28"/>
                <w:szCs w:val="28"/>
                <w:lang w:eastAsia="zh-CN"/>
              </w:rPr>
              <w:t>主动公开</w:t>
            </w:r>
            <w:bookmarkEnd w:id="12"/>
          </w:p>
        </w:tc>
      </w:tr>
      <w:tr>
        <w:tblPrEx>
          <w:tblCellMar>
            <w:top w:w="0" w:type="dxa"/>
            <w:left w:w="0" w:type="dxa"/>
            <w:bottom w:w="0" w:type="dxa"/>
            <w:right w:w="0" w:type="dxa"/>
          </w:tblCellMar>
        </w:tblPrEx>
        <w:trPr>
          <w:trHeight w:val="510" w:hRule="atLeast"/>
        </w:trPr>
        <w:tc>
          <w:tcPr>
            <w:tcW w:w="2439" w:type="pct"/>
            <w:tcBorders>
              <w:top w:val="single" w:color="auto" w:sz="8" w:space="0"/>
              <w:left w:val="nil"/>
              <w:bottom w:val="single" w:color="auto" w:sz="12" w:space="0"/>
              <w:right w:val="nil"/>
            </w:tcBorders>
            <w:noWrap w:val="0"/>
            <w:vAlign w:val="center"/>
          </w:tcPr>
          <w:p>
            <w:pPr>
              <w:spacing w:after="100" w:line="460" w:lineRule="exact"/>
              <w:ind w:right="205" w:rightChars="65" w:firstLine="0" w:firstLineChars="0"/>
              <w:rPr>
                <w:rFonts w:ascii="仿宋" w:hAnsi="仿宋" w:eastAsia="仿宋"/>
                <w:color w:val="000000"/>
                <w:sz w:val="28"/>
                <w:szCs w:val="32"/>
              </w:rPr>
            </w:pPr>
            <w:r>
              <w:rPr>
                <w:rFonts w:hint="eastAsia" w:ascii="仿宋" w:hAnsi="仿宋" w:eastAsia="仿宋" w:cs="仿宋_GB2312"/>
                <w:color w:val="000000"/>
                <w:sz w:val="28"/>
                <w:szCs w:val="32"/>
              </w:rPr>
              <w:t>福建省财政厅办公室</w:t>
            </w:r>
          </w:p>
        </w:tc>
        <w:tc>
          <w:tcPr>
            <w:tcW w:w="2560" w:type="pct"/>
            <w:tcBorders>
              <w:top w:val="single" w:color="auto" w:sz="8" w:space="0"/>
              <w:left w:val="nil"/>
              <w:bottom w:val="single" w:color="auto" w:sz="12" w:space="0"/>
              <w:right w:val="nil"/>
            </w:tcBorders>
            <w:noWrap w:val="0"/>
            <w:vAlign w:val="center"/>
          </w:tcPr>
          <w:p>
            <w:pPr>
              <w:wordWrap w:val="0"/>
              <w:spacing w:after="100" w:afterAutospacing="1" w:line="460" w:lineRule="exact"/>
              <w:ind w:right="205" w:rightChars="65" w:firstLine="1104" w:firstLineChars="400"/>
              <w:jc w:val="both"/>
              <w:textAlignment w:val="bottom"/>
              <w:rPr>
                <w:rFonts w:ascii="仿宋_GB2312" w:eastAsia="仿宋_GB2312"/>
                <w:color w:val="000000"/>
                <w:sz w:val="32"/>
                <w:szCs w:val="32"/>
              </w:rPr>
            </w:pPr>
            <w:bookmarkStart w:id="13" w:name="PO_fyfrq"/>
            <w:r>
              <w:rPr>
                <w:rFonts w:hint="eastAsia" w:ascii="仿宋" w:hAnsi="仿宋" w:eastAsia="仿宋" w:cs="仿宋_GB2312"/>
                <w:color w:val="000000"/>
                <w:sz w:val="28"/>
                <w:szCs w:val="32"/>
                <w:lang w:eastAsia="zh-CN"/>
              </w:rPr>
              <w:t>2023年7月</w:t>
            </w:r>
            <w:r>
              <w:rPr>
                <w:rFonts w:hint="eastAsia" w:ascii="仿宋" w:hAnsi="仿宋" w:eastAsia="仿宋" w:cs="仿宋_GB2312"/>
                <w:color w:val="000000"/>
                <w:sz w:val="28"/>
                <w:szCs w:val="32"/>
                <w:lang w:val="en-US" w:eastAsia="zh-CN"/>
              </w:rPr>
              <w:t>28</w:t>
            </w:r>
            <w:r>
              <w:rPr>
                <w:rFonts w:hint="eastAsia" w:ascii="仿宋" w:hAnsi="仿宋" w:eastAsia="仿宋" w:cs="仿宋_GB2312"/>
                <w:color w:val="000000"/>
                <w:sz w:val="28"/>
                <w:szCs w:val="32"/>
                <w:lang w:eastAsia="zh-CN"/>
              </w:rPr>
              <w:t>日</w:t>
            </w:r>
            <w:bookmarkEnd w:id="13"/>
            <w:r>
              <w:rPr>
                <w:rFonts w:hint="eastAsia" w:ascii="仿宋" w:hAnsi="仿宋" w:eastAsia="仿宋" w:cs="仿宋_GB2312"/>
                <w:color w:val="000000"/>
                <w:sz w:val="28"/>
                <w:szCs w:val="32"/>
              </w:rPr>
              <w:t>印发</w:t>
            </w:r>
            <w:r>
              <w:rPr>
                <w:rFonts w:hint="eastAsia" w:ascii="仿宋_GB2312" w:eastAsia="仿宋_GB2312" w:cs="仿宋_GB2312"/>
                <w:color w:val="000000"/>
                <w:sz w:val="32"/>
                <w:szCs w:val="32"/>
              </w:rPr>
              <w:t xml:space="preserve">  </w:t>
            </w:r>
          </w:p>
        </w:tc>
      </w:tr>
    </w:tbl>
    <w:p>
      <w:pP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simsun">
    <w:altName w:val="汉仪新人文宋简"/>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0" w:firstLine="0" w:firstLineChars="0"/>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ight="0" w:firstLine="0" w:firstLineChars="0"/>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ind w:left="320" w:leftChars="100" w:right="0" w:firstLine="0" w:firstLineChars="0"/>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page">
                <wp:posOffset>742950</wp:posOffset>
              </wp:positionH>
              <wp:positionV relativeFrom="paragraph">
                <wp:posOffset>-177165</wp:posOffset>
              </wp:positionV>
              <wp:extent cx="6120130" cy="0"/>
              <wp:effectExtent l="0" t="31750" r="6350" b="4445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FFFF"/>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8.5pt;margin-top:-13.95pt;height:0pt;width:481.9pt;mso-position-horizontal-relative:page;z-index:251663360;mso-width-relative:page;mso-height-relative:page;" filled="f" stroked="t" coordsize="21600,21600" o:gfxdata="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ksWATYAAAADAEAAA8AAAAAAAAAAQAgAAAAOAAAAGRycy9kb3ducmV2LnhtbFBL&#10;AQIUABQAAAAIAIdO4kCuLYrf4AEAAKADAAAOAAAAAAAAAAEAIAAAAD0BAABkcnMvZTJvRG9jLnht&#10;bFBLBQYAAAAABgAGAFkBAACPBQAAAAA=&#10;">
              <v:fill on="f" focussize="0,0"/>
              <v:stroke weight="5pt" color="#FFFFFF" linestyle="thinThick"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651AD"/>
    <w:multiLevelType w:val="singleLevel"/>
    <w:tmpl w:val="7BA651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trackRevisions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43"/>
    <w:rsid w:val="000253FA"/>
    <w:rsid w:val="00072E52"/>
    <w:rsid w:val="000B3399"/>
    <w:rsid w:val="000E291E"/>
    <w:rsid w:val="000E6968"/>
    <w:rsid w:val="00116C7A"/>
    <w:rsid w:val="00145C75"/>
    <w:rsid w:val="001538F6"/>
    <w:rsid w:val="001745DC"/>
    <w:rsid w:val="001851DD"/>
    <w:rsid w:val="001865AB"/>
    <w:rsid w:val="00195B6A"/>
    <w:rsid w:val="001B667D"/>
    <w:rsid w:val="002269D4"/>
    <w:rsid w:val="00231764"/>
    <w:rsid w:val="00245BD9"/>
    <w:rsid w:val="00253BD6"/>
    <w:rsid w:val="00283713"/>
    <w:rsid w:val="002C0472"/>
    <w:rsid w:val="002D060D"/>
    <w:rsid w:val="00317448"/>
    <w:rsid w:val="003407EA"/>
    <w:rsid w:val="00354EA9"/>
    <w:rsid w:val="003828FA"/>
    <w:rsid w:val="00396E4C"/>
    <w:rsid w:val="003A09E7"/>
    <w:rsid w:val="00410875"/>
    <w:rsid w:val="00430145"/>
    <w:rsid w:val="00461224"/>
    <w:rsid w:val="00472F9E"/>
    <w:rsid w:val="00475982"/>
    <w:rsid w:val="0048765D"/>
    <w:rsid w:val="004B2FE4"/>
    <w:rsid w:val="004D3B32"/>
    <w:rsid w:val="004E4405"/>
    <w:rsid w:val="005911D6"/>
    <w:rsid w:val="005978EB"/>
    <w:rsid w:val="005D42F2"/>
    <w:rsid w:val="005D5EA3"/>
    <w:rsid w:val="005E7243"/>
    <w:rsid w:val="005E7BDD"/>
    <w:rsid w:val="006614BA"/>
    <w:rsid w:val="0066178F"/>
    <w:rsid w:val="00691574"/>
    <w:rsid w:val="00692022"/>
    <w:rsid w:val="006A3DF8"/>
    <w:rsid w:val="006C73D7"/>
    <w:rsid w:val="00712027"/>
    <w:rsid w:val="00726EF9"/>
    <w:rsid w:val="00750D7C"/>
    <w:rsid w:val="0079728D"/>
    <w:rsid w:val="007C193A"/>
    <w:rsid w:val="007C569E"/>
    <w:rsid w:val="007E5E0D"/>
    <w:rsid w:val="007F3A72"/>
    <w:rsid w:val="00804A05"/>
    <w:rsid w:val="0087156E"/>
    <w:rsid w:val="0088476D"/>
    <w:rsid w:val="008A0FF1"/>
    <w:rsid w:val="008B6098"/>
    <w:rsid w:val="008E2231"/>
    <w:rsid w:val="00982794"/>
    <w:rsid w:val="009C7120"/>
    <w:rsid w:val="009E611E"/>
    <w:rsid w:val="009E7ED0"/>
    <w:rsid w:val="009F6E0B"/>
    <w:rsid w:val="00A239A5"/>
    <w:rsid w:val="00A26E0B"/>
    <w:rsid w:val="00A32370"/>
    <w:rsid w:val="00A75DE6"/>
    <w:rsid w:val="00A8598A"/>
    <w:rsid w:val="00A9035B"/>
    <w:rsid w:val="00AB00BB"/>
    <w:rsid w:val="00B31BED"/>
    <w:rsid w:val="00B34692"/>
    <w:rsid w:val="00B47EE3"/>
    <w:rsid w:val="00BC54D6"/>
    <w:rsid w:val="00BD6C8F"/>
    <w:rsid w:val="00BE0177"/>
    <w:rsid w:val="00BF17B9"/>
    <w:rsid w:val="00C37F2A"/>
    <w:rsid w:val="00C52395"/>
    <w:rsid w:val="00C60497"/>
    <w:rsid w:val="00C7277C"/>
    <w:rsid w:val="00C8215B"/>
    <w:rsid w:val="00C909AD"/>
    <w:rsid w:val="00C95624"/>
    <w:rsid w:val="00CB6A69"/>
    <w:rsid w:val="00CC1487"/>
    <w:rsid w:val="00D841E3"/>
    <w:rsid w:val="00DA3F99"/>
    <w:rsid w:val="00DC0D99"/>
    <w:rsid w:val="00DE1F26"/>
    <w:rsid w:val="00DE3ED6"/>
    <w:rsid w:val="00DF3572"/>
    <w:rsid w:val="00E06983"/>
    <w:rsid w:val="00E32094"/>
    <w:rsid w:val="00E503FB"/>
    <w:rsid w:val="00F4723B"/>
    <w:rsid w:val="00F954E9"/>
    <w:rsid w:val="00FC58D3"/>
    <w:rsid w:val="028528E4"/>
    <w:rsid w:val="03352888"/>
    <w:rsid w:val="04AC5B5A"/>
    <w:rsid w:val="216915F0"/>
    <w:rsid w:val="3C732D21"/>
    <w:rsid w:val="3C7671BF"/>
    <w:rsid w:val="4103650A"/>
    <w:rsid w:val="4AB32DE6"/>
    <w:rsid w:val="4B3C5314"/>
    <w:rsid w:val="4BD227FC"/>
    <w:rsid w:val="4E776090"/>
    <w:rsid w:val="570E6174"/>
    <w:rsid w:val="5A815D32"/>
    <w:rsid w:val="5DEC1E09"/>
    <w:rsid w:val="5DF5346E"/>
    <w:rsid w:val="76FFAB4D"/>
    <w:rsid w:val="7AABD922"/>
    <w:rsid w:val="7EFF6425"/>
    <w:rsid w:val="9FF3EDE8"/>
    <w:rsid w:val="EF4BED2C"/>
    <w:rsid w:val="FDFE8642"/>
    <w:rsid w:val="FE9F8ABC"/>
    <w:rsid w:val="FF7406BB"/>
    <w:rsid w:val="FFC93952"/>
    <w:rsid w:val="FFEAD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Times New Roman" w:hAnsi="Times New Roman" w:eastAsia="宋体" w:cs="Times New Roman"/>
    </w:rPr>
  </w:style>
  <w:style w:type="paragraph" w:customStyle="1" w:styleId="9">
    <w:name w:val="正文 + 仿宋_GB2312"/>
    <w:basedOn w:val="1"/>
    <w:qFormat/>
    <w:uiPriority w:val="0"/>
    <w:pPr>
      <w:framePr w:hSpace="180" w:wrap="around" w:vAnchor="text" w:hAnchor="text" w:y="1"/>
      <w:spacing w:before="120" w:line="318" w:lineRule="atLeast"/>
      <w:jc w:val="center"/>
      <w:textAlignment w:val="bottom"/>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9</Characters>
  <Lines>1</Lines>
  <Paragraphs>1</Paragraphs>
  <TotalTime>1</TotalTime>
  <ScaleCrop>false</ScaleCrop>
  <LinksUpToDate>false</LinksUpToDate>
  <CharactersWithSpaces>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2019-12-25T04:26:00Z</dcterms:created>
  <dc:creator>duan z</dc:creator>
  <cp:lastModifiedBy>邱艺瑶</cp:lastModifiedBy>
  <cp:lastPrinted>2023-07-26T10:01:00Z</cp:lastPrinted>
  <dcterms:modified xsi:type="dcterms:W3CDTF">2023-08-01T07:02:25Z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