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overflowPunct/>
        <w:topLinePunct w:val="0"/>
        <w:autoSpaceDE/>
        <w:autoSpaceDN/>
        <w:bidi w:val="0"/>
        <w:snapToGrid w:val="0"/>
        <w:spacing w:line="560" w:lineRule="exact"/>
        <w:ind w:firstLine="0" w:firstLineChars="0"/>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eastAsia="zh-CN"/>
        </w:rPr>
        <w:t>附</w:t>
      </w:r>
      <w:r>
        <w:rPr>
          <w:rFonts w:hint="eastAsia" w:ascii="黑体" w:hAnsi="黑体" w:eastAsia="黑体" w:cs="黑体"/>
          <w:color w:val="auto"/>
          <w:sz w:val="32"/>
          <w:szCs w:val="32"/>
        </w:rPr>
        <w:t>件</w:t>
      </w:r>
      <w:r>
        <w:rPr>
          <w:rFonts w:hint="eastAsia" w:ascii="黑体" w:hAnsi="黑体" w:eastAsia="黑体" w:cs="黑体"/>
          <w:color w:val="auto"/>
          <w:sz w:val="32"/>
          <w:szCs w:val="32"/>
          <w:lang w:val="en-US" w:eastAsia="zh-CN"/>
        </w:rPr>
        <w:t>1</w:t>
      </w:r>
    </w:p>
    <w:p>
      <w:pPr>
        <w:keepNext w:val="0"/>
        <w:keepLines w:val="0"/>
        <w:pageBreakBefore w:val="0"/>
        <w:widowControl w:val="0"/>
        <w:kinsoku/>
        <w:overflowPunct/>
        <w:topLinePunct w:val="0"/>
        <w:autoSpaceDE/>
        <w:autoSpaceDN/>
        <w:bidi w:val="0"/>
        <w:snapToGrid w:val="0"/>
        <w:spacing w:line="560" w:lineRule="exact"/>
        <w:ind w:firstLine="0" w:firstLineChars="0"/>
        <w:textAlignment w:val="auto"/>
        <w:rPr>
          <w:rFonts w:hint="eastAsia" w:ascii="仿宋" w:hAnsi="仿宋" w:eastAsia="仿宋" w:cs="仿宋"/>
          <w:color w:val="auto"/>
          <w:sz w:val="32"/>
          <w:szCs w:val="32"/>
        </w:rPr>
      </w:pPr>
    </w:p>
    <w:p>
      <w:pPr>
        <w:keepNext w:val="0"/>
        <w:keepLines w:val="0"/>
        <w:pageBreakBefore w:val="0"/>
        <w:widowControl w:val="0"/>
        <w:kinsoku/>
        <w:overflowPunct/>
        <w:topLinePunct w:val="0"/>
        <w:autoSpaceDE/>
        <w:autoSpaceDN/>
        <w:bidi w:val="0"/>
        <w:snapToGrid w:val="0"/>
        <w:spacing w:line="560" w:lineRule="exact"/>
        <w:ind w:firstLine="0" w:firstLineChars="0"/>
        <w:jc w:val="center"/>
        <w:textAlignment w:val="auto"/>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rPr>
        <w:t>202</w:t>
      </w:r>
      <w:r>
        <w:rPr>
          <w:rFonts w:hint="eastAsia" w:ascii="方正小标宋简体" w:hAnsi="方正小标宋简体" w:eastAsia="方正小标宋简体" w:cs="方正小标宋简体"/>
          <w:color w:val="auto"/>
          <w:sz w:val="44"/>
          <w:szCs w:val="44"/>
          <w:lang w:val="en-US" w:eastAsia="zh-CN"/>
        </w:rPr>
        <w:t>6</w:t>
      </w:r>
      <w:r>
        <w:rPr>
          <w:rFonts w:hint="eastAsia" w:ascii="方正小标宋简体" w:hAnsi="方正小标宋简体" w:eastAsia="方正小标宋简体" w:cs="方正小标宋简体"/>
          <w:color w:val="auto"/>
          <w:sz w:val="44"/>
          <w:szCs w:val="44"/>
        </w:rPr>
        <w:t>年福建省正高级会计师</w:t>
      </w:r>
      <w:r>
        <w:rPr>
          <w:rFonts w:hint="eastAsia" w:ascii="方正小标宋简体" w:hAnsi="方正小标宋简体" w:eastAsia="方正小标宋简体" w:cs="方正小标宋简体"/>
          <w:color w:val="auto"/>
          <w:sz w:val="44"/>
          <w:szCs w:val="44"/>
          <w:lang w:val="en-US" w:eastAsia="zh-CN"/>
        </w:rPr>
        <w:t>职称</w:t>
      </w:r>
      <w:r>
        <w:rPr>
          <w:rFonts w:hint="eastAsia" w:ascii="方正小标宋简体" w:hAnsi="方正小标宋简体" w:eastAsia="方正小标宋简体" w:cs="方正小标宋简体"/>
          <w:color w:val="auto"/>
          <w:sz w:val="44"/>
          <w:szCs w:val="44"/>
        </w:rPr>
        <w:t>评审</w:t>
      </w:r>
    </w:p>
    <w:p>
      <w:pPr>
        <w:keepNext w:val="0"/>
        <w:keepLines w:val="0"/>
        <w:pageBreakBefore w:val="0"/>
        <w:widowControl w:val="0"/>
        <w:kinsoku/>
        <w:overflowPunct/>
        <w:topLinePunct w:val="0"/>
        <w:autoSpaceDE/>
        <w:autoSpaceDN/>
        <w:bidi w:val="0"/>
        <w:snapToGrid w:val="0"/>
        <w:spacing w:line="560" w:lineRule="exact"/>
        <w:ind w:firstLine="0" w:firstLineChars="0"/>
        <w:jc w:val="center"/>
        <w:textAlignment w:val="auto"/>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rPr>
        <w:t>申报材料与报送要求</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仿宋" w:hAnsi="仿宋" w:eastAsia="仿宋" w:cs="仿宋"/>
          <w:color w:val="auto"/>
          <w:sz w:val="32"/>
          <w:szCs w:val="32"/>
        </w:rPr>
      </w:pP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仿宋" w:hAnsi="仿宋" w:eastAsia="仿宋" w:cs="仿宋"/>
          <w:b/>
          <w:bCs/>
          <w:color w:val="auto"/>
          <w:sz w:val="32"/>
          <w:szCs w:val="32"/>
        </w:rPr>
      </w:pPr>
      <w:r>
        <w:rPr>
          <w:rFonts w:hint="eastAsia" w:ascii="仿宋" w:hAnsi="仿宋" w:eastAsia="仿宋" w:cs="仿宋"/>
          <w:color w:val="auto"/>
          <w:sz w:val="32"/>
          <w:szCs w:val="32"/>
        </w:rPr>
        <w:t>申报人员按照下列要求准备申报材料，并进入</w:t>
      </w:r>
      <w:r>
        <w:rPr>
          <w:rFonts w:hint="eastAsia" w:ascii="仿宋" w:hAnsi="仿宋" w:eastAsia="仿宋" w:cs="仿宋"/>
          <w:color w:val="auto"/>
          <w:sz w:val="32"/>
          <w:szCs w:val="32"/>
          <w:highlight w:val="none"/>
        </w:rPr>
        <w:t>“福建省财政厅</w:t>
      </w:r>
      <w:r>
        <w:rPr>
          <w:rFonts w:hint="eastAsia" w:ascii="仿宋" w:hAnsi="仿宋" w:eastAsia="仿宋" w:cs="仿宋"/>
          <w:color w:val="auto"/>
          <w:sz w:val="32"/>
          <w:szCs w:val="32"/>
          <w:highlight w:val="none"/>
          <w:lang w:eastAsia="zh-CN"/>
        </w:rPr>
        <w:t>门户网站</w:t>
      </w:r>
      <w:r>
        <w:rPr>
          <w:rFonts w:hint="eastAsia" w:ascii="仿宋" w:hAnsi="仿宋" w:eastAsia="仿宋" w:cs="仿宋"/>
          <w:color w:val="auto"/>
          <w:sz w:val="32"/>
          <w:szCs w:val="32"/>
          <w:highlight w:val="none"/>
        </w:rPr>
        <w:t>（http://czt.fujian.gov.cn/）——专题专栏——会计</w:t>
      </w:r>
      <w:r>
        <w:rPr>
          <w:rFonts w:hint="eastAsia" w:ascii="仿宋" w:hAnsi="仿宋" w:eastAsia="仿宋" w:cs="仿宋"/>
          <w:color w:val="auto"/>
          <w:sz w:val="32"/>
          <w:szCs w:val="32"/>
          <w:highlight w:val="none"/>
          <w:lang w:val="en-US" w:eastAsia="zh-CN"/>
        </w:rPr>
        <w:t>管理</w:t>
      </w:r>
      <w:r>
        <w:rPr>
          <w:rFonts w:hint="eastAsia" w:ascii="仿宋" w:hAnsi="仿宋" w:eastAsia="仿宋" w:cs="仿宋"/>
          <w:color w:val="auto"/>
          <w:sz w:val="32"/>
          <w:szCs w:val="32"/>
          <w:highlight w:val="none"/>
        </w:rPr>
        <w:t>”网页下端的“</w:t>
      </w:r>
      <w:r>
        <w:rPr>
          <w:rFonts w:hint="eastAsia" w:ascii="仿宋" w:hAnsi="仿宋" w:eastAsia="仿宋" w:cs="仿宋"/>
          <w:color w:val="auto"/>
          <w:sz w:val="32"/>
          <w:szCs w:val="32"/>
          <w:highlight w:val="none"/>
          <w:lang w:val="en-US" w:eastAsia="zh-CN"/>
        </w:rPr>
        <w:t>会计人员信息管理平台</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val="en-US" w:eastAsia="zh-CN"/>
        </w:rPr>
        <w:t>，登录后点击“高级会计师评审功能”模块</w:t>
      </w:r>
      <w:r>
        <w:rPr>
          <w:rFonts w:hint="eastAsia" w:ascii="仿宋" w:hAnsi="仿宋" w:eastAsia="仿宋" w:cs="仿宋"/>
          <w:color w:val="auto"/>
          <w:sz w:val="32"/>
          <w:szCs w:val="32"/>
        </w:rPr>
        <w:t>如实填写申报材料。</w:t>
      </w:r>
      <w:r>
        <w:rPr>
          <w:rFonts w:hint="eastAsia" w:ascii="仿宋" w:hAnsi="仿宋" w:eastAsia="仿宋" w:cs="仿宋"/>
          <w:b/>
          <w:bCs/>
          <w:color w:val="auto"/>
          <w:sz w:val="32"/>
          <w:szCs w:val="32"/>
        </w:rPr>
        <w:t>申报人员在报名时年度应选择“202</w:t>
      </w:r>
      <w:r>
        <w:rPr>
          <w:rFonts w:hint="eastAsia" w:ascii="仿宋" w:hAnsi="仿宋" w:eastAsia="仿宋" w:cs="仿宋"/>
          <w:b/>
          <w:bCs/>
          <w:color w:val="auto"/>
          <w:sz w:val="32"/>
          <w:szCs w:val="32"/>
          <w:lang w:val="en-US" w:eastAsia="zh-CN"/>
        </w:rPr>
        <w:t>6</w:t>
      </w:r>
      <w:r>
        <w:rPr>
          <w:rFonts w:hint="eastAsia" w:ascii="仿宋" w:hAnsi="仿宋" w:eastAsia="仿宋" w:cs="仿宋"/>
          <w:b/>
          <w:bCs/>
          <w:color w:val="auto"/>
          <w:sz w:val="32"/>
          <w:szCs w:val="32"/>
        </w:rPr>
        <w:t>年”，申报类型</w:t>
      </w:r>
      <w:r>
        <w:rPr>
          <w:rFonts w:hint="eastAsia" w:ascii="仿宋" w:hAnsi="仿宋" w:eastAsia="仿宋" w:cs="仿宋"/>
          <w:b/>
          <w:bCs/>
          <w:color w:val="auto"/>
          <w:sz w:val="32"/>
          <w:szCs w:val="32"/>
          <w:lang w:eastAsia="zh-CN"/>
        </w:rPr>
        <w:t>应</w:t>
      </w:r>
      <w:r>
        <w:rPr>
          <w:rFonts w:hint="eastAsia" w:ascii="仿宋" w:hAnsi="仿宋" w:eastAsia="仿宋" w:cs="仿宋"/>
          <w:b/>
          <w:bCs/>
          <w:color w:val="auto"/>
          <w:sz w:val="32"/>
          <w:szCs w:val="32"/>
        </w:rPr>
        <w:t>选择“正高级会计师”。</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一、委托评审函1份</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省</w:t>
      </w:r>
      <w:r>
        <w:rPr>
          <w:rFonts w:hint="eastAsia" w:ascii="仿宋" w:hAnsi="仿宋" w:eastAsia="仿宋" w:cs="仿宋"/>
          <w:color w:val="auto"/>
          <w:sz w:val="32"/>
          <w:szCs w:val="32"/>
          <w:lang w:val="en-US" w:eastAsia="zh-CN"/>
        </w:rPr>
        <w:t>直</w:t>
      </w:r>
      <w:r>
        <w:rPr>
          <w:rFonts w:hint="eastAsia" w:ascii="仿宋" w:hAnsi="仿宋" w:eastAsia="仿宋" w:cs="仿宋"/>
          <w:color w:val="auto"/>
          <w:sz w:val="32"/>
          <w:szCs w:val="32"/>
        </w:rPr>
        <w:t>单位申报人员应提供具有人事管理权限的省直有关</w:t>
      </w:r>
      <w:r>
        <w:rPr>
          <w:rFonts w:hint="eastAsia" w:ascii="仿宋" w:hAnsi="仿宋" w:eastAsia="仿宋" w:cs="仿宋"/>
          <w:color w:val="auto"/>
          <w:sz w:val="32"/>
          <w:szCs w:val="32"/>
          <w:lang w:eastAsia="zh-CN"/>
        </w:rPr>
        <w:t>单位</w:t>
      </w:r>
      <w:r>
        <w:rPr>
          <w:rFonts w:hint="eastAsia" w:ascii="仿宋" w:hAnsi="仿宋" w:eastAsia="仿宋" w:cs="仿宋"/>
          <w:color w:val="auto"/>
          <w:sz w:val="32"/>
          <w:szCs w:val="32"/>
        </w:rPr>
        <w:t>职改办</w:t>
      </w:r>
      <w:r>
        <w:rPr>
          <w:rFonts w:hint="eastAsia" w:ascii="仿宋" w:hAnsi="仿宋" w:eastAsia="仿宋" w:cs="仿宋"/>
          <w:color w:val="auto"/>
          <w:sz w:val="32"/>
          <w:szCs w:val="32"/>
          <w:lang w:eastAsia="zh-CN"/>
        </w:rPr>
        <w:t>或省级人事代理机构</w:t>
      </w:r>
      <w:r>
        <w:rPr>
          <w:rFonts w:hint="eastAsia" w:ascii="仿宋" w:hAnsi="仿宋" w:eastAsia="仿宋" w:cs="仿宋"/>
          <w:color w:val="auto"/>
          <w:sz w:val="32"/>
          <w:szCs w:val="32"/>
        </w:rPr>
        <w:t>出具的</w:t>
      </w:r>
      <w:r>
        <w:rPr>
          <w:rFonts w:hint="eastAsia" w:ascii="仿宋" w:hAnsi="仿宋" w:eastAsia="仿宋" w:cs="仿宋"/>
          <w:color w:val="auto"/>
          <w:sz w:val="32"/>
          <w:szCs w:val="32"/>
          <w:lang w:eastAsia="zh-CN"/>
        </w:rPr>
        <w:t>正</w:t>
      </w:r>
      <w:r>
        <w:rPr>
          <w:rFonts w:hint="eastAsia" w:ascii="仿宋" w:hAnsi="仿宋" w:eastAsia="仿宋" w:cs="仿宋"/>
          <w:color w:val="auto"/>
          <w:sz w:val="32"/>
          <w:szCs w:val="32"/>
        </w:rPr>
        <w:t>高级会计师委托评审函1份。</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地市申报人员应提供设区市人社局、平潭综合实验区党群工作部出具的</w:t>
      </w:r>
      <w:r>
        <w:rPr>
          <w:rFonts w:hint="eastAsia" w:ascii="仿宋" w:hAnsi="仿宋" w:eastAsia="仿宋" w:cs="仿宋"/>
          <w:color w:val="auto"/>
          <w:sz w:val="32"/>
          <w:szCs w:val="32"/>
          <w:lang w:eastAsia="zh-CN"/>
        </w:rPr>
        <w:t>正</w:t>
      </w:r>
      <w:r>
        <w:rPr>
          <w:rFonts w:hint="eastAsia" w:ascii="仿宋" w:hAnsi="仿宋" w:eastAsia="仿宋" w:cs="仿宋"/>
          <w:color w:val="auto"/>
          <w:sz w:val="32"/>
          <w:szCs w:val="32"/>
        </w:rPr>
        <w:t>高级会计师委托评审函1份。</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中直、部属和外省驻闽单位人员如需在我省申报</w:t>
      </w:r>
      <w:r>
        <w:rPr>
          <w:rFonts w:hint="eastAsia" w:ascii="仿宋" w:hAnsi="仿宋" w:eastAsia="仿宋" w:cs="仿宋"/>
          <w:color w:val="auto"/>
          <w:sz w:val="32"/>
          <w:szCs w:val="32"/>
          <w:lang w:eastAsia="zh-CN"/>
        </w:rPr>
        <w:t>正</w:t>
      </w:r>
      <w:r>
        <w:rPr>
          <w:rFonts w:hint="eastAsia" w:ascii="仿宋" w:hAnsi="仿宋" w:eastAsia="仿宋" w:cs="仿宋"/>
          <w:color w:val="auto"/>
          <w:sz w:val="32"/>
          <w:szCs w:val="32"/>
        </w:rPr>
        <w:t>高级会计师</w:t>
      </w:r>
      <w:r>
        <w:rPr>
          <w:rFonts w:hint="eastAsia" w:ascii="仿宋" w:hAnsi="仿宋" w:eastAsia="仿宋" w:cs="仿宋"/>
          <w:color w:val="auto"/>
          <w:sz w:val="32"/>
          <w:szCs w:val="32"/>
          <w:lang w:val="en-US" w:eastAsia="zh-CN"/>
        </w:rPr>
        <w:t>职称</w:t>
      </w:r>
      <w:r>
        <w:rPr>
          <w:rFonts w:hint="eastAsia" w:ascii="仿宋" w:hAnsi="仿宋" w:eastAsia="仿宋" w:cs="仿宋"/>
          <w:color w:val="auto"/>
          <w:sz w:val="32"/>
          <w:szCs w:val="32"/>
        </w:rPr>
        <w:t>评审，须经其具有人事管理权限的主管部门同意，并出具1份委托评审函。</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根据省政府有关高等院校、省属公立医院、省属科研机构、中小学、中职校（含技校）“评聘合一”的规定，凡我省上述单位的专业技术人员，应提供1份空岗证明，</w:t>
      </w:r>
      <w:r>
        <w:rPr>
          <w:rFonts w:hint="eastAsia" w:ascii="仿宋" w:hAnsi="仿宋" w:eastAsia="仿宋" w:cs="仿宋"/>
          <w:color w:val="auto"/>
          <w:sz w:val="32"/>
          <w:szCs w:val="32"/>
          <w:lang w:eastAsia="zh-CN"/>
        </w:rPr>
        <w:t>注</w:t>
      </w:r>
      <w:r>
        <w:rPr>
          <w:rFonts w:hint="eastAsia" w:ascii="仿宋" w:hAnsi="仿宋" w:eastAsia="仿宋" w:cs="仿宋"/>
          <w:color w:val="auto"/>
          <w:sz w:val="32"/>
          <w:szCs w:val="32"/>
        </w:rPr>
        <w:t>明所在单位专业技术岗位空岗情况。</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lang w:eastAsia="zh-CN"/>
        </w:rPr>
        <w:t>二</w:t>
      </w:r>
      <w:r>
        <w:rPr>
          <w:rFonts w:hint="eastAsia" w:ascii="黑体" w:hAnsi="黑体" w:eastAsia="黑体" w:cs="黑体"/>
          <w:color w:val="auto"/>
          <w:sz w:val="32"/>
          <w:szCs w:val="32"/>
        </w:rPr>
        <w:t>、《专业技术职务任职资格评审表》（以下简称《评审表》）一式4份（</w:t>
      </w:r>
      <w:r>
        <w:rPr>
          <w:rFonts w:hint="eastAsia" w:ascii="黑体" w:hAnsi="黑体" w:eastAsia="黑体" w:cs="黑体"/>
          <w:color w:val="auto"/>
          <w:sz w:val="32"/>
          <w:szCs w:val="32"/>
          <w:lang w:eastAsia="zh-CN"/>
        </w:rPr>
        <w:t>应提供原件</w:t>
      </w:r>
      <w:r>
        <w:rPr>
          <w:rFonts w:hint="eastAsia" w:ascii="黑体" w:hAnsi="黑体" w:eastAsia="黑体" w:cs="黑体"/>
          <w:color w:val="auto"/>
          <w:sz w:val="32"/>
          <w:szCs w:val="32"/>
        </w:rPr>
        <w:t>，复印件无效）</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《评审表》在</w:t>
      </w:r>
      <w:r>
        <w:rPr>
          <w:rFonts w:hint="eastAsia" w:ascii="仿宋" w:hAnsi="仿宋" w:eastAsia="仿宋" w:cs="仿宋"/>
          <w:color w:val="auto"/>
          <w:sz w:val="32"/>
          <w:szCs w:val="32"/>
          <w:lang w:eastAsia="zh-CN"/>
        </w:rPr>
        <w:t>报名</w:t>
      </w:r>
      <w:r>
        <w:rPr>
          <w:rFonts w:hint="eastAsia" w:ascii="仿宋" w:hAnsi="仿宋" w:eastAsia="仿宋" w:cs="仿宋"/>
          <w:color w:val="auto"/>
          <w:sz w:val="32"/>
          <w:szCs w:val="32"/>
        </w:rPr>
        <w:t>系统内填写，导出排版后可直接打印。</w:t>
      </w:r>
    </w:p>
    <w:p>
      <w:pPr>
        <w:keepNext w:val="0"/>
        <w:keepLines w:val="0"/>
        <w:pageBreakBefore w:val="0"/>
        <w:widowControl w:val="0"/>
        <w:kinsoku/>
        <w:overflowPunct/>
        <w:topLinePunct w:val="0"/>
        <w:autoSpaceDE/>
        <w:autoSpaceDN/>
        <w:bidi w:val="0"/>
        <w:adjustRightInd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（一）根据《福建省职称评审管理暂行办法》（闽人社发〔2021〕1号）文件精神，各单位在申报材料和推荐材料正式上报之前，应将申报者的《评审表》《申报正高级会计师职务任职资格人员情况表》</w:t>
      </w:r>
      <w:r>
        <w:rPr>
          <w:rFonts w:hint="eastAsia" w:ascii="仿宋" w:hAnsi="仿宋" w:eastAsia="仿宋" w:cs="仿宋"/>
          <w:color w:val="auto"/>
          <w:sz w:val="32"/>
          <w:szCs w:val="32"/>
          <w:lang w:val="en-US" w:eastAsia="zh-CN"/>
        </w:rPr>
        <w:t>等相关材料</w:t>
      </w:r>
      <w:r>
        <w:rPr>
          <w:rFonts w:hint="eastAsia" w:ascii="仿宋" w:hAnsi="仿宋" w:eastAsia="仿宋" w:cs="仿宋"/>
          <w:color w:val="auto"/>
          <w:sz w:val="32"/>
          <w:szCs w:val="32"/>
        </w:rPr>
        <w:t>在本单位</w:t>
      </w:r>
      <w:r>
        <w:rPr>
          <w:rFonts w:hint="eastAsia" w:ascii="仿宋" w:hAnsi="仿宋" w:eastAsia="仿宋" w:cs="仿宋"/>
          <w:color w:val="auto"/>
          <w:sz w:val="32"/>
          <w:szCs w:val="32"/>
          <w:lang w:val="en-US" w:eastAsia="zh-CN"/>
        </w:rPr>
        <w:t>进行</w:t>
      </w:r>
      <w:r>
        <w:rPr>
          <w:rFonts w:hint="eastAsia" w:ascii="仿宋" w:hAnsi="仿宋" w:eastAsia="仿宋" w:cs="仿宋"/>
          <w:color w:val="auto"/>
          <w:sz w:val="32"/>
          <w:szCs w:val="32"/>
        </w:rPr>
        <w:t>公示</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在《评审表》中的“单位推荐意见”栏内注明</w:t>
      </w:r>
      <w:r>
        <w:rPr>
          <w:rFonts w:hint="eastAsia" w:ascii="仿宋" w:hAnsi="仿宋" w:eastAsia="仿宋" w:cs="仿宋"/>
          <w:color w:val="auto"/>
          <w:sz w:val="32"/>
          <w:szCs w:val="32"/>
          <w:lang w:val="en-US" w:eastAsia="zh-CN"/>
        </w:rPr>
        <w:t>公示结果</w:t>
      </w:r>
      <w:r>
        <w:rPr>
          <w:rFonts w:hint="eastAsia" w:ascii="仿宋" w:hAnsi="仿宋" w:eastAsia="仿宋" w:cs="仿宋"/>
          <w:color w:val="auto"/>
          <w:sz w:val="32"/>
          <w:szCs w:val="32"/>
        </w:rPr>
        <w:t>。</w:t>
      </w:r>
    </w:p>
    <w:p>
      <w:pPr>
        <w:keepNext w:val="0"/>
        <w:keepLines w:val="0"/>
        <w:pageBreakBefore w:val="0"/>
        <w:widowControl w:val="0"/>
        <w:kinsoku/>
        <w:overflowPunct/>
        <w:topLinePunct w:val="0"/>
        <w:autoSpaceDE/>
        <w:autoSpaceDN/>
        <w:bidi w:val="0"/>
        <w:adjustRightInd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（二）“基层单位意见”栏，本单位签注意见后，由单位负责人</w:t>
      </w:r>
      <w:r>
        <w:rPr>
          <w:rFonts w:hint="eastAsia" w:ascii="仿宋" w:hAnsi="仿宋" w:eastAsia="仿宋" w:cs="仿宋"/>
          <w:color w:val="auto"/>
          <w:sz w:val="32"/>
          <w:szCs w:val="32"/>
          <w:lang w:eastAsia="zh-CN"/>
        </w:rPr>
        <w:t>签字或盖章</w:t>
      </w:r>
      <w:r>
        <w:rPr>
          <w:rFonts w:hint="eastAsia" w:ascii="仿宋" w:hAnsi="仿宋" w:eastAsia="仿宋" w:cs="仿宋"/>
          <w:color w:val="auto"/>
          <w:sz w:val="32"/>
          <w:szCs w:val="32"/>
        </w:rPr>
        <w:t>并加盖单位公章。</w:t>
      </w:r>
    </w:p>
    <w:p>
      <w:pPr>
        <w:keepNext w:val="0"/>
        <w:keepLines w:val="0"/>
        <w:pageBreakBefore w:val="0"/>
        <w:widowControl w:val="0"/>
        <w:kinsoku/>
        <w:overflowPunct/>
        <w:topLinePunct w:val="0"/>
        <w:autoSpaceDE/>
        <w:autoSpaceDN/>
        <w:bidi w:val="0"/>
        <w:adjustRightInd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（三）“呈报单位意见”栏，各设区市（含平潭）财政</w:t>
      </w:r>
      <w:r>
        <w:rPr>
          <w:rFonts w:hint="eastAsia" w:ascii="仿宋" w:hAnsi="仿宋" w:eastAsia="仿宋" w:cs="仿宋"/>
          <w:color w:val="auto"/>
          <w:sz w:val="32"/>
          <w:szCs w:val="32"/>
          <w:lang w:val="en-US" w:eastAsia="zh-CN"/>
        </w:rPr>
        <w:t>部门</w:t>
      </w:r>
      <w:r>
        <w:rPr>
          <w:rFonts w:hint="eastAsia" w:ascii="仿宋" w:hAnsi="仿宋" w:eastAsia="仿宋" w:cs="仿宋"/>
          <w:color w:val="auto"/>
          <w:sz w:val="32"/>
          <w:szCs w:val="32"/>
        </w:rPr>
        <w:t>、人社部门或</w:t>
      </w:r>
      <w:r>
        <w:rPr>
          <w:rFonts w:hint="eastAsia" w:ascii="仿宋" w:hAnsi="仿宋" w:eastAsia="仿宋" w:cs="仿宋"/>
          <w:color w:val="auto"/>
          <w:lang w:val="en-US" w:eastAsia="zh-CN"/>
        </w:rPr>
        <w:t>省直单位职改办（含省级人事代理机构）</w:t>
      </w:r>
      <w:r>
        <w:rPr>
          <w:rFonts w:hint="eastAsia" w:ascii="仿宋" w:hAnsi="仿宋" w:eastAsia="仿宋" w:cs="仿宋"/>
          <w:color w:val="auto"/>
          <w:sz w:val="32"/>
          <w:szCs w:val="32"/>
        </w:rPr>
        <w:t>签注意见后，由各职改办负责人签章并加盖公章。</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（四）《评审表》封面盖本单位公章或职改办公章，整册加盖骑缝章。</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仿宋" w:hAnsi="仿宋" w:eastAsia="仿宋" w:cs="仿宋"/>
          <w:b w:val="0"/>
          <w:bCs w:val="0"/>
          <w:color w:val="auto"/>
          <w:sz w:val="32"/>
          <w:szCs w:val="32"/>
        </w:rPr>
      </w:pPr>
      <w:r>
        <w:rPr>
          <w:rFonts w:hint="eastAsia" w:ascii="仿宋" w:hAnsi="仿宋" w:eastAsia="仿宋" w:cs="仿宋"/>
          <w:b w:val="0"/>
          <w:bCs w:val="0"/>
          <w:color w:val="auto"/>
          <w:sz w:val="32"/>
          <w:szCs w:val="32"/>
        </w:rPr>
        <w:t>（五）《评审表》用胶水在左侧面粘贴成册，不能用订书钉装订，以便归档管理。</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lang w:eastAsia="zh-CN"/>
        </w:rPr>
        <w:t>三</w:t>
      </w:r>
      <w:r>
        <w:rPr>
          <w:rFonts w:hint="eastAsia" w:ascii="黑体" w:hAnsi="黑体" w:eastAsia="黑体" w:cs="黑体"/>
          <w:color w:val="auto"/>
          <w:sz w:val="32"/>
          <w:szCs w:val="32"/>
        </w:rPr>
        <w:t>、《单位推荐意见》一式20份</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w:t>
      </w:r>
      <w:r>
        <w:rPr>
          <w:rFonts w:hint="eastAsia" w:ascii="仿宋" w:hAnsi="仿宋" w:eastAsia="仿宋" w:cs="仿宋"/>
          <w:color w:val="auto"/>
          <w:sz w:val="32"/>
          <w:szCs w:val="32"/>
          <w:lang w:eastAsia="zh-CN"/>
        </w:rPr>
        <w:t>单位推荐意见</w:t>
      </w:r>
      <w:r>
        <w:rPr>
          <w:rFonts w:hint="eastAsia" w:ascii="仿宋" w:hAnsi="仿宋" w:eastAsia="仿宋" w:cs="仿宋"/>
          <w:color w:val="auto"/>
          <w:sz w:val="32"/>
          <w:szCs w:val="32"/>
        </w:rPr>
        <w:t>》在</w:t>
      </w:r>
      <w:r>
        <w:rPr>
          <w:rFonts w:hint="eastAsia" w:ascii="仿宋" w:hAnsi="仿宋" w:eastAsia="仿宋" w:cs="仿宋"/>
          <w:color w:val="auto"/>
          <w:sz w:val="32"/>
          <w:szCs w:val="32"/>
          <w:lang w:eastAsia="zh-CN"/>
        </w:rPr>
        <w:t>报名</w:t>
      </w:r>
      <w:r>
        <w:rPr>
          <w:rFonts w:hint="eastAsia" w:ascii="仿宋" w:hAnsi="仿宋" w:eastAsia="仿宋" w:cs="仿宋"/>
          <w:color w:val="auto"/>
          <w:sz w:val="32"/>
          <w:szCs w:val="32"/>
        </w:rPr>
        <w:t>系统内填写，导出排版后可直接打印。</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单位推荐意见要求字数在1500字以上，须由单位人事部门对申报</w:t>
      </w:r>
      <w:r>
        <w:rPr>
          <w:rFonts w:hint="eastAsia" w:ascii="仿宋" w:hAnsi="仿宋" w:eastAsia="仿宋" w:cs="仿宋"/>
          <w:color w:val="auto"/>
          <w:sz w:val="32"/>
          <w:szCs w:val="32"/>
          <w:lang w:val="en-US" w:eastAsia="zh-CN"/>
        </w:rPr>
        <w:t>人员</w:t>
      </w:r>
      <w:r>
        <w:rPr>
          <w:rFonts w:hint="eastAsia" w:ascii="仿宋" w:hAnsi="仿宋" w:eastAsia="仿宋" w:cs="仿宋"/>
          <w:color w:val="auto"/>
          <w:sz w:val="32"/>
          <w:szCs w:val="32"/>
        </w:rPr>
        <w:t>的业务理论水平、工作能力、主要业绩成果等情况作出评价。</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lang w:eastAsia="zh-CN"/>
        </w:rPr>
        <w:t>四</w:t>
      </w:r>
      <w:r>
        <w:rPr>
          <w:rFonts w:hint="eastAsia" w:ascii="黑体" w:hAnsi="黑体" w:eastAsia="黑体" w:cs="黑体"/>
          <w:color w:val="auto"/>
          <w:sz w:val="32"/>
          <w:szCs w:val="32"/>
        </w:rPr>
        <w:t>、《单位简介》一式20份</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w:t>
      </w:r>
      <w:r>
        <w:rPr>
          <w:rFonts w:hint="eastAsia" w:ascii="仿宋" w:hAnsi="仿宋" w:eastAsia="仿宋" w:cs="仿宋"/>
          <w:color w:val="auto"/>
          <w:sz w:val="32"/>
          <w:szCs w:val="32"/>
          <w:lang w:eastAsia="zh-CN"/>
        </w:rPr>
        <w:t>单位简介</w:t>
      </w:r>
      <w:r>
        <w:rPr>
          <w:rFonts w:hint="eastAsia" w:ascii="仿宋" w:hAnsi="仿宋" w:eastAsia="仿宋" w:cs="仿宋"/>
          <w:color w:val="auto"/>
          <w:sz w:val="32"/>
          <w:szCs w:val="32"/>
        </w:rPr>
        <w:t>》在</w:t>
      </w:r>
      <w:r>
        <w:rPr>
          <w:rFonts w:hint="eastAsia" w:ascii="仿宋" w:hAnsi="仿宋" w:eastAsia="仿宋" w:cs="仿宋"/>
          <w:color w:val="auto"/>
          <w:sz w:val="32"/>
          <w:szCs w:val="32"/>
          <w:lang w:eastAsia="zh-CN"/>
        </w:rPr>
        <w:t>报名</w:t>
      </w:r>
      <w:r>
        <w:rPr>
          <w:rFonts w:hint="eastAsia" w:ascii="仿宋" w:hAnsi="仿宋" w:eastAsia="仿宋" w:cs="仿宋"/>
          <w:color w:val="auto"/>
          <w:sz w:val="32"/>
          <w:szCs w:val="32"/>
        </w:rPr>
        <w:t>系统内填写，导出排版后可直接打印。</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（一）申报单位情况简介。申报人员必须使用本人</w:t>
      </w:r>
      <w:r>
        <w:rPr>
          <w:rFonts w:hint="eastAsia" w:ascii="仿宋" w:hAnsi="仿宋" w:eastAsia="仿宋" w:cs="仿宋"/>
          <w:color w:val="auto"/>
          <w:sz w:val="32"/>
          <w:szCs w:val="32"/>
          <w:lang w:val="en-US" w:eastAsia="zh-CN"/>
        </w:rPr>
        <w:t>人事</w:t>
      </w:r>
      <w:r>
        <w:rPr>
          <w:rFonts w:hint="eastAsia" w:ascii="仿宋" w:hAnsi="仿宋" w:eastAsia="仿宋" w:cs="仿宋"/>
          <w:color w:val="auto"/>
          <w:sz w:val="32"/>
          <w:szCs w:val="32"/>
        </w:rPr>
        <w:t>关系所在单位经过外部审计的年度财务报告中的相关数据资料。</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二）在“单位人员组织架构”项中列示单位组织架构情况，内容如下：1.本人所在单位层级：大型（或中型、小型）企业本级、大型（或中型）企业一级子公司、大型（或中型）企业二级子公司、大型（或中型）企业三级子公司、大型（或中型）企业分公司，按所在单位实际层级选择1项；2.本人所在管理职务层级，例如：会计→主办会计→财务部副经理（本人）→财务部经理→财务总监或副总经理→总经理→董事长。会计师事务所或税务师事务所增加说明本所注册会计师或税务师总人数。</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lang w:eastAsia="zh-CN"/>
        </w:rPr>
        <w:t>五</w:t>
      </w:r>
      <w:r>
        <w:rPr>
          <w:rFonts w:hint="eastAsia" w:ascii="黑体" w:hAnsi="黑体" w:eastAsia="黑体" w:cs="黑体"/>
          <w:color w:val="auto"/>
          <w:sz w:val="32"/>
          <w:szCs w:val="32"/>
        </w:rPr>
        <w:t>、《申报正高级会计师职务任职资格人员情况表》（以下简称《个人情况表》）一式20份</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《个人情况表》在</w:t>
      </w:r>
      <w:r>
        <w:rPr>
          <w:rFonts w:hint="eastAsia" w:ascii="仿宋" w:hAnsi="仿宋" w:eastAsia="仿宋" w:cs="仿宋"/>
          <w:color w:val="auto"/>
          <w:sz w:val="32"/>
          <w:szCs w:val="32"/>
          <w:lang w:eastAsia="zh-CN"/>
        </w:rPr>
        <w:t>报名</w:t>
      </w:r>
      <w:r>
        <w:rPr>
          <w:rFonts w:hint="eastAsia" w:ascii="仿宋" w:hAnsi="仿宋" w:eastAsia="仿宋" w:cs="仿宋"/>
          <w:color w:val="auto"/>
          <w:sz w:val="32"/>
          <w:szCs w:val="32"/>
        </w:rPr>
        <w:t>系统内填写，导出排版后可直接打印。</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（一）破格申报人员应注明符合申报条件的具体条目。</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（二）“履行职责情况”栏，填报受聘高级会计师资格前后履行职责情况，字数要求</w:t>
      </w:r>
      <w:r>
        <w:rPr>
          <w:rFonts w:hint="eastAsia" w:ascii="仿宋" w:hAnsi="仿宋" w:eastAsia="仿宋" w:cs="仿宋"/>
          <w:color w:val="auto"/>
          <w:sz w:val="32"/>
          <w:szCs w:val="32"/>
          <w:lang w:val="en-US" w:eastAsia="zh-CN"/>
        </w:rPr>
        <w:t>在</w:t>
      </w:r>
      <w:r>
        <w:rPr>
          <w:rFonts w:hint="eastAsia" w:ascii="仿宋" w:hAnsi="仿宋" w:eastAsia="仿宋" w:cs="仿宋"/>
          <w:color w:val="auto"/>
          <w:sz w:val="32"/>
          <w:szCs w:val="32"/>
        </w:rPr>
        <w:t>2000字以上，重点突出专业理论、工作能力和业绩成果。</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（三）“专业获奖”栏，填列财政部门或财政部门、人</w:t>
      </w:r>
      <w:r>
        <w:rPr>
          <w:rFonts w:hint="eastAsia" w:ascii="仿宋" w:hAnsi="仿宋" w:eastAsia="仿宋" w:cs="仿宋"/>
          <w:color w:val="auto"/>
          <w:sz w:val="32"/>
          <w:szCs w:val="32"/>
          <w:lang w:eastAsia="zh-CN"/>
        </w:rPr>
        <w:t>社</w:t>
      </w:r>
      <w:r>
        <w:rPr>
          <w:rFonts w:hint="eastAsia" w:ascii="仿宋" w:hAnsi="仿宋" w:eastAsia="仿宋" w:cs="仿宋"/>
          <w:color w:val="auto"/>
          <w:sz w:val="32"/>
          <w:szCs w:val="32"/>
        </w:rPr>
        <w:t xml:space="preserve">部门共同颁发的奖项。除此外的获奖，列在“非专业获奖”。  </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仿宋" w:hAnsi="仿宋" w:eastAsia="仿宋" w:cs="仿宋"/>
          <w:b/>
          <w:bCs/>
          <w:color w:val="auto"/>
          <w:sz w:val="32"/>
          <w:szCs w:val="32"/>
        </w:rPr>
      </w:pPr>
      <w:r>
        <w:rPr>
          <w:rFonts w:hint="eastAsia" w:ascii="仿宋" w:hAnsi="仿宋" w:eastAsia="仿宋" w:cs="仿宋"/>
          <w:b/>
          <w:bCs/>
          <w:color w:val="auto"/>
          <w:sz w:val="32"/>
          <w:szCs w:val="32"/>
          <w:lang w:eastAsia="zh-CN"/>
        </w:rPr>
        <w:t>每份</w:t>
      </w:r>
      <w:r>
        <w:rPr>
          <w:rFonts w:hint="eastAsia" w:ascii="仿宋" w:hAnsi="仿宋" w:eastAsia="仿宋" w:cs="仿宋"/>
          <w:b/>
          <w:bCs/>
          <w:color w:val="auto"/>
          <w:sz w:val="32"/>
          <w:szCs w:val="32"/>
        </w:rPr>
        <w:t>《单位推荐意见》《单位简介》和《个人情况表》按顺序合并装订成</w:t>
      </w:r>
      <w:r>
        <w:rPr>
          <w:rFonts w:hint="eastAsia" w:ascii="仿宋" w:hAnsi="仿宋" w:eastAsia="仿宋" w:cs="仿宋"/>
          <w:b/>
          <w:bCs/>
          <w:color w:val="auto"/>
          <w:sz w:val="32"/>
          <w:szCs w:val="32"/>
          <w:lang w:val="en-US" w:eastAsia="zh-CN"/>
        </w:rPr>
        <w:t>1</w:t>
      </w:r>
      <w:r>
        <w:rPr>
          <w:rFonts w:hint="eastAsia" w:ascii="仿宋" w:hAnsi="仿宋" w:eastAsia="仿宋" w:cs="仿宋"/>
          <w:b/>
          <w:bCs/>
          <w:color w:val="auto"/>
          <w:sz w:val="32"/>
          <w:szCs w:val="32"/>
        </w:rPr>
        <w:t>册，每册加盖骑缝章，一式20份。</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lang w:eastAsia="zh-CN"/>
        </w:rPr>
        <w:t>六</w:t>
      </w:r>
      <w:r>
        <w:rPr>
          <w:rFonts w:hint="eastAsia" w:ascii="黑体" w:hAnsi="黑体" w:eastAsia="黑体" w:cs="黑体"/>
          <w:color w:val="auto"/>
          <w:sz w:val="32"/>
          <w:szCs w:val="32"/>
        </w:rPr>
        <w:t>、</w:t>
      </w:r>
      <w:r>
        <w:rPr>
          <w:rFonts w:hint="eastAsia" w:ascii="黑体" w:hAnsi="黑体" w:eastAsia="黑体" w:cs="黑体"/>
          <w:color w:val="auto"/>
          <w:sz w:val="32"/>
          <w:szCs w:val="32"/>
          <w:lang w:eastAsia="zh-CN"/>
        </w:rPr>
        <w:t>研究成果</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（一）</w:t>
      </w:r>
      <w:r>
        <w:rPr>
          <w:rFonts w:hint="eastAsia" w:ascii="仿宋" w:hAnsi="仿宋" w:eastAsia="仿宋" w:cs="仿宋"/>
          <w:color w:val="auto"/>
          <w:sz w:val="32"/>
          <w:szCs w:val="32"/>
          <w:lang w:val="en-US" w:eastAsia="zh-CN"/>
        </w:rPr>
        <w:t>申报</w:t>
      </w:r>
      <w:r>
        <w:rPr>
          <w:rFonts w:hint="eastAsia" w:ascii="仿宋" w:hAnsi="仿宋" w:eastAsia="仿宋" w:cs="仿宋"/>
          <w:color w:val="auto"/>
          <w:sz w:val="32"/>
          <w:szCs w:val="32"/>
        </w:rPr>
        <w:t>人员</w:t>
      </w:r>
      <w:r>
        <w:rPr>
          <w:rFonts w:hint="eastAsia" w:ascii="仿宋" w:hAnsi="仿宋" w:eastAsia="仿宋" w:cs="仿宋"/>
          <w:color w:val="auto"/>
          <w:sz w:val="32"/>
          <w:szCs w:val="32"/>
          <w:lang w:eastAsia="zh-CN"/>
        </w:rPr>
        <w:t>应</w:t>
      </w:r>
      <w:r>
        <w:rPr>
          <w:rFonts w:hint="eastAsia" w:ascii="仿宋" w:hAnsi="仿宋" w:eastAsia="仿宋" w:cs="仿宋"/>
          <w:color w:val="auto"/>
          <w:sz w:val="32"/>
          <w:szCs w:val="32"/>
        </w:rPr>
        <w:t>根据《福建省财政厅 福建省人力资源和社会保障厅关于印发&lt;福建省深化会计人员职称制度改革实施方案&gt;的通知》（闽财规〔2022〕21号）附件2《福建省正高级会计师职务任职资格评价条件》第九条</w:t>
      </w:r>
      <w:r>
        <w:rPr>
          <w:rFonts w:hint="eastAsia" w:ascii="仿宋" w:hAnsi="仿宋" w:eastAsia="仿宋" w:cs="仿宋"/>
          <w:color w:val="auto"/>
          <w:sz w:val="32"/>
          <w:szCs w:val="32"/>
          <w:lang w:eastAsia="zh-CN"/>
        </w:rPr>
        <w:t>有关</w:t>
      </w:r>
      <w:r>
        <w:rPr>
          <w:rFonts w:hint="eastAsia" w:ascii="仿宋" w:hAnsi="仿宋" w:eastAsia="仿宋" w:cs="仿宋"/>
          <w:color w:val="auto"/>
          <w:sz w:val="32"/>
          <w:szCs w:val="32"/>
        </w:rPr>
        <w:t>要求，提供相应研究成果。</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仿宋" w:hAnsi="仿宋" w:eastAsia="仿宋" w:cs="仿宋"/>
          <w:color w:val="auto"/>
          <w:sz w:val="32"/>
          <w:szCs w:val="32"/>
          <w:lang w:eastAsia="zh-CN"/>
        </w:rPr>
      </w:pPr>
      <w:r>
        <w:rPr>
          <w:rFonts w:hint="eastAsia" w:ascii="仿宋" w:hAnsi="仿宋" w:eastAsia="仿宋" w:cs="仿宋"/>
          <w:color w:val="auto"/>
          <w:sz w:val="32"/>
          <w:szCs w:val="32"/>
        </w:rPr>
        <w:t>（二）对</w:t>
      </w:r>
      <w:r>
        <w:rPr>
          <w:rFonts w:hint="eastAsia" w:ascii="仿宋" w:hAnsi="仿宋" w:eastAsia="仿宋" w:cs="仿宋"/>
          <w:color w:val="auto"/>
          <w:sz w:val="32"/>
          <w:szCs w:val="32"/>
          <w:lang w:val="en-US" w:eastAsia="zh-CN"/>
        </w:rPr>
        <w:t>申报</w:t>
      </w:r>
      <w:r>
        <w:rPr>
          <w:rFonts w:hint="eastAsia" w:ascii="仿宋" w:hAnsi="仿宋" w:eastAsia="仿宋" w:cs="仿宋"/>
          <w:color w:val="auto"/>
          <w:sz w:val="32"/>
          <w:szCs w:val="32"/>
        </w:rPr>
        <w:t>人员提交的研究成果实行“文献复制检测”，由评审委员会确定文献复制比率最高线，高于最高线的实行一票否决</w:t>
      </w:r>
      <w:r>
        <w:rPr>
          <w:rFonts w:hint="eastAsia" w:ascii="仿宋" w:hAnsi="仿宋" w:eastAsia="仿宋" w:cs="仿宋"/>
          <w:color w:val="auto"/>
          <w:sz w:val="32"/>
          <w:szCs w:val="32"/>
          <w:lang w:eastAsia="zh-CN"/>
        </w:rPr>
        <w:t>，代表作、案例（调研报告）和业绩能力等</w:t>
      </w:r>
      <w:r>
        <w:rPr>
          <w:rFonts w:hint="eastAsia" w:ascii="仿宋" w:hAnsi="仿宋" w:eastAsia="仿宋" w:cs="仿宋"/>
          <w:color w:val="auto"/>
          <w:sz w:val="32"/>
          <w:szCs w:val="32"/>
          <w:lang w:val="en-US" w:eastAsia="zh-CN"/>
        </w:rPr>
        <w:t>分数</w:t>
      </w:r>
      <w:r>
        <w:rPr>
          <w:rFonts w:hint="eastAsia" w:ascii="仿宋" w:hAnsi="仿宋" w:eastAsia="仿宋" w:cs="仿宋"/>
          <w:color w:val="auto"/>
          <w:sz w:val="32"/>
          <w:szCs w:val="32"/>
          <w:lang w:eastAsia="zh-CN"/>
        </w:rPr>
        <w:t>均</w:t>
      </w:r>
      <w:r>
        <w:rPr>
          <w:rFonts w:hint="eastAsia" w:ascii="仿宋" w:hAnsi="仿宋" w:eastAsia="仿宋" w:cs="仿宋"/>
          <w:color w:val="auto"/>
          <w:sz w:val="32"/>
          <w:szCs w:val="32"/>
          <w:lang w:val="en-US" w:eastAsia="zh-CN"/>
        </w:rPr>
        <w:t>按</w:t>
      </w:r>
      <w:r>
        <w:rPr>
          <w:rFonts w:hint="eastAsia" w:ascii="仿宋" w:hAnsi="仿宋" w:eastAsia="仿宋" w:cs="仿宋"/>
          <w:color w:val="auto"/>
          <w:sz w:val="32"/>
          <w:szCs w:val="32"/>
          <w:lang w:eastAsia="zh-CN"/>
        </w:rPr>
        <w:t>0分处理。</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（三）论文或著作的发表期限和课题的结项时间截</w:t>
      </w:r>
      <w:r>
        <w:rPr>
          <w:rFonts w:hint="eastAsia" w:ascii="仿宋" w:hAnsi="仿宋" w:eastAsia="仿宋" w:cs="仿宋"/>
          <w:color w:val="auto"/>
          <w:sz w:val="32"/>
          <w:szCs w:val="32"/>
          <w:lang w:eastAsia="zh-CN"/>
        </w:rPr>
        <w:t>至</w:t>
      </w:r>
      <w:r>
        <w:rPr>
          <w:rFonts w:hint="eastAsia" w:ascii="仿宋" w:hAnsi="仿宋" w:eastAsia="仿宋" w:cs="仿宋"/>
          <w:color w:val="auto"/>
          <w:sz w:val="32"/>
          <w:szCs w:val="32"/>
        </w:rPr>
        <w:t>202</w:t>
      </w:r>
      <w:r>
        <w:rPr>
          <w:rFonts w:hint="eastAsia" w:ascii="仿宋" w:hAnsi="仿宋" w:eastAsia="仿宋" w:cs="仿宋"/>
          <w:color w:val="auto"/>
          <w:sz w:val="32"/>
          <w:szCs w:val="32"/>
          <w:lang w:val="en-US" w:eastAsia="zh-CN"/>
        </w:rPr>
        <w:t>5</w:t>
      </w:r>
      <w:r>
        <w:rPr>
          <w:rFonts w:hint="eastAsia" w:ascii="仿宋" w:hAnsi="仿宋" w:eastAsia="仿宋" w:cs="仿宋"/>
          <w:color w:val="auto"/>
          <w:sz w:val="32"/>
          <w:szCs w:val="32"/>
        </w:rPr>
        <w:t>年12月31日。</w:t>
      </w:r>
    </w:p>
    <w:p>
      <w:pPr>
        <w:keepNext w:val="0"/>
        <w:keepLines w:val="0"/>
        <w:pageBreakBefore w:val="0"/>
        <w:widowControl w:val="0"/>
        <w:kinsoku/>
        <w:overflowPunct/>
        <w:topLinePunct w:val="0"/>
        <w:autoSpaceDE/>
        <w:autoSpaceDN/>
        <w:bidi w:val="0"/>
        <w:adjustRightInd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（四）选定1篇论文作为代表作的，提供刊物原件1份，复印件（含封面、目录和正文）20份。发表在报纸、增刊、专刊、套刊、电子期刊、一号多刊</w:t>
      </w:r>
      <w:r>
        <w:rPr>
          <w:rFonts w:hint="eastAsia" w:ascii="仿宋" w:hAnsi="仿宋" w:eastAsia="仿宋" w:cs="仿宋"/>
          <w:color w:val="auto"/>
          <w:sz w:val="32"/>
          <w:szCs w:val="32"/>
          <w:lang w:eastAsia="zh-CN"/>
        </w:rPr>
        <w:t>、论文集</w:t>
      </w:r>
      <w:r>
        <w:rPr>
          <w:rFonts w:hint="eastAsia" w:ascii="仿宋" w:hAnsi="仿宋" w:eastAsia="仿宋" w:cs="仿宋"/>
          <w:color w:val="auto"/>
          <w:sz w:val="32"/>
          <w:szCs w:val="32"/>
        </w:rPr>
        <w:t>等刊物上的论文及稿件刊用证明均不予认可。以专著为代表作的，除原件1份外，</w:t>
      </w:r>
      <w:r>
        <w:rPr>
          <w:rFonts w:hint="eastAsia" w:ascii="仿宋" w:hAnsi="仿宋" w:eastAsia="仿宋" w:cs="仿宋"/>
          <w:color w:val="auto"/>
          <w:sz w:val="32"/>
          <w:szCs w:val="32"/>
          <w:lang w:val="en-US" w:eastAsia="zh-CN"/>
        </w:rPr>
        <w:t>还需</w:t>
      </w:r>
      <w:r>
        <w:rPr>
          <w:rFonts w:hint="eastAsia" w:ascii="仿宋" w:hAnsi="仿宋" w:eastAsia="仿宋" w:cs="仿宋"/>
          <w:color w:val="auto"/>
          <w:sz w:val="32"/>
          <w:szCs w:val="32"/>
        </w:rPr>
        <w:t>提供内容简介（500字左右）和专著中的重要观点（特别是有创新的观点）</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及所在章节页复印件20份。以课题为代表作的，提供课题结题报告书、鉴定书、结题证书等20份。</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（五）代表作以外的其他论文、著作、课题，提供原件1份，复印件1份。</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（六）所有报送论文</w:t>
      </w:r>
      <w:r>
        <w:rPr>
          <w:rFonts w:hint="eastAsia" w:ascii="仿宋" w:hAnsi="仿宋" w:eastAsia="仿宋" w:cs="仿宋"/>
          <w:color w:val="auto"/>
          <w:sz w:val="32"/>
          <w:szCs w:val="32"/>
          <w:lang w:eastAsia="zh-CN"/>
        </w:rPr>
        <w:t>的</w:t>
      </w:r>
      <w:r>
        <w:rPr>
          <w:rFonts w:hint="eastAsia" w:ascii="仿宋" w:hAnsi="仿宋" w:eastAsia="仿宋" w:cs="仿宋"/>
          <w:color w:val="auto"/>
          <w:sz w:val="32"/>
          <w:szCs w:val="32"/>
        </w:rPr>
        <w:t>认证复印件1份（论文代表作认证需</w:t>
      </w:r>
      <w:r>
        <w:rPr>
          <w:rFonts w:hint="eastAsia" w:ascii="仿宋" w:hAnsi="仿宋" w:eastAsia="仿宋" w:cs="仿宋"/>
          <w:color w:val="auto"/>
          <w:sz w:val="32"/>
          <w:szCs w:val="32"/>
          <w:lang w:val="en-US" w:eastAsia="zh-CN"/>
        </w:rPr>
        <w:t>20</w:t>
      </w:r>
      <w:r>
        <w:rPr>
          <w:rFonts w:hint="eastAsia" w:ascii="仿宋" w:hAnsi="仿宋" w:eastAsia="仿宋" w:cs="仿宋"/>
          <w:color w:val="auto"/>
          <w:sz w:val="32"/>
          <w:szCs w:val="32"/>
        </w:rPr>
        <w:t>份）。提供在中国知网（http://www.cnki.net/）上查询到的论文结果的复印件（《福建财会研究》和《福建财政》除外）。查询结果必须包括题名、作者、来源出处、发表时间等内容，打印后分别附在论文复印件的后面。</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lang w:eastAsia="zh-CN"/>
        </w:rPr>
        <w:t>七</w:t>
      </w:r>
      <w:r>
        <w:rPr>
          <w:rFonts w:hint="eastAsia" w:ascii="黑体" w:hAnsi="黑体" w:eastAsia="黑体" w:cs="黑体"/>
          <w:color w:val="auto"/>
          <w:sz w:val="32"/>
          <w:szCs w:val="32"/>
        </w:rPr>
        <w:t>、</w:t>
      </w:r>
      <w:r>
        <w:rPr>
          <w:rFonts w:hint="eastAsia" w:ascii="黑体" w:hAnsi="黑体" w:eastAsia="黑体" w:cs="黑体"/>
          <w:color w:val="auto"/>
          <w:sz w:val="32"/>
          <w:szCs w:val="32"/>
          <w:lang w:val="en-US" w:eastAsia="zh-CN"/>
        </w:rPr>
        <w:t>会计</w:t>
      </w:r>
      <w:r>
        <w:rPr>
          <w:rFonts w:hint="eastAsia" w:ascii="黑体" w:hAnsi="黑体" w:eastAsia="黑体" w:cs="黑体"/>
          <w:color w:val="auto"/>
          <w:sz w:val="32"/>
          <w:szCs w:val="32"/>
        </w:rPr>
        <w:t>案例（或调研报告）一式20份</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仿宋" w:hAnsi="仿宋" w:eastAsia="仿宋" w:cs="仿宋"/>
          <w:color w:val="auto"/>
          <w:sz w:val="32"/>
          <w:szCs w:val="32"/>
          <w:lang w:eastAsia="zh-CN"/>
        </w:rPr>
      </w:pPr>
      <w:r>
        <w:rPr>
          <w:rFonts w:hint="eastAsia" w:ascii="仿宋" w:hAnsi="仿宋" w:eastAsia="仿宋" w:cs="仿宋"/>
          <w:color w:val="auto"/>
          <w:sz w:val="32"/>
          <w:szCs w:val="32"/>
          <w:lang w:val="en-US" w:eastAsia="zh-CN"/>
        </w:rPr>
        <w:t>申报</w:t>
      </w:r>
      <w:r>
        <w:rPr>
          <w:rFonts w:hint="eastAsia" w:ascii="仿宋" w:hAnsi="仿宋" w:eastAsia="仿宋" w:cs="仿宋"/>
          <w:color w:val="auto"/>
          <w:sz w:val="32"/>
          <w:szCs w:val="32"/>
        </w:rPr>
        <w:t>人员应提交1篇独立撰写的</w:t>
      </w:r>
      <w:r>
        <w:rPr>
          <w:rFonts w:hint="eastAsia" w:ascii="仿宋" w:hAnsi="仿宋" w:eastAsia="仿宋" w:cs="仿宋"/>
          <w:color w:val="auto"/>
          <w:sz w:val="32"/>
          <w:szCs w:val="32"/>
          <w:lang w:val="en-US" w:eastAsia="zh-CN"/>
        </w:rPr>
        <w:t>会计</w:t>
      </w:r>
      <w:r>
        <w:rPr>
          <w:rFonts w:hint="eastAsia" w:ascii="仿宋" w:hAnsi="仿宋" w:eastAsia="仿宋" w:cs="仿宋"/>
          <w:color w:val="auto"/>
          <w:sz w:val="32"/>
          <w:szCs w:val="32"/>
        </w:rPr>
        <w:t>案例或调研报告。对案例、调研报告实行“文献复制检测”，由评审委员会确定文献复制比率最高线，高于最高线的实行一票否决</w:t>
      </w:r>
      <w:r>
        <w:rPr>
          <w:rFonts w:hint="eastAsia" w:ascii="仿宋" w:hAnsi="仿宋" w:eastAsia="仿宋" w:cs="仿宋"/>
          <w:color w:val="auto"/>
          <w:sz w:val="32"/>
          <w:szCs w:val="32"/>
          <w:lang w:eastAsia="zh-CN"/>
        </w:rPr>
        <w:t>，代表作、案例（调研报告）和业绩能力等</w:t>
      </w:r>
      <w:r>
        <w:rPr>
          <w:rFonts w:hint="eastAsia" w:ascii="仿宋" w:hAnsi="仿宋" w:eastAsia="仿宋" w:cs="仿宋"/>
          <w:color w:val="auto"/>
          <w:sz w:val="32"/>
          <w:szCs w:val="32"/>
          <w:lang w:val="en-US" w:eastAsia="zh-CN"/>
        </w:rPr>
        <w:t>分数</w:t>
      </w:r>
      <w:r>
        <w:rPr>
          <w:rFonts w:hint="eastAsia" w:ascii="仿宋" w:hAnsi="仿宋" w:eastAsia="仿宋" w:cs="仿宋"/>
          <w:color w:val="auto"/>
          <w:sz w:val="32"/>
          <w:szCs w:val="32"/>
          <w:lang w:eastAsia="zh-CN"/>
        </w:rPr>
        <w:t>均</w:t>
      </w:r>
      <w:r>
        <w:rPr>
          <w:rFonts w:hint="eastAsia" w:ascii="仿宋" w:hAnsi="仿宋" w:eastAsia="仿宋" w:cs="仿宋"/>
          <w:color w:val="auto"/>
          <w:sz w:val="32"/>
          <w:szCs w:val="32"/>
          <w:lang w:val="en-US" w:eastAsia="zh-CN"/>
        </w:rPr>
        <w:t>按</w:t>
      </w:r>
      <w:r>
        <w:rPr>
          <w:rFonts w:hint="eastAsia" w:ascii="仿宋" w:hAnsi="仿宋" w:eastAsia="仿宋" w:cs="仿宋"/>
          <w:color w:val="auto"/>
          <w:sz w:val="32"/>
          <w:szCs w:val="32"/>
          <w:lang w:eastAsia="zh-CN"/>
        </w:rPr>
        <w:t>0分处理。</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（一）</w:t>
      </w:r>
      <w:r>
        <w:rPr>
          <w:rFonts w:hint="eastAsia" w:ascii="仿宋" w:hAnsi="仿宋" w:eastAsia="仿宋" w:cs="仿宋"/>
          <w:color w:val="auto"/>
          <w:sz w:val="32"/>
          <w:szCs w:val="32"/>
          <w:lang w:val="en-US" w:eastAsia="zh-CN"/>
        </w:rPr>
        <w:t>会计</w:t>
      </w:r>
      <w:r>
        <w:rPr>
          <w:rFonts w:hint="eastAsia" w:ascii="仿宋" w:hAnsi="仿宋" w:eastAsia="仿宋" w:cs="仿宋"/>
          <w:color w:val="auto"/>
          <w:sz w:val="32"/>
          <w:szCs w:val="32"/>
        </w:rPr>
        <w:t>案例应结合本职工作实际的某项业务或事项，要求有背景、主题、过程、结果、分析和本人发挥作用以及启示借鉴，字数在5000字以上。</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（二）调研报告应结合本职工作实际的某项业务、事项或问题，要求有背景、有情况、有分析、有针对性的意见或建议和本人发挥的作用以及报告供单位或领导参考情况，字数在5000字以上。</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lang w:eastAsia="zh-CN"/>
        </w:rPr>
        <w:t>八</w:t>
      </w:r>
      <w:r>
        <w:rPr>
          <w:rFonts w:hint="eastAsia" w:ascii="黑体" w:hAnsi="黑体" w:eastAsia="黑体" w:cs="黑体"/>
          <w:color w:val="auto"/>
          <w:sz w:val="32"/>
          <w:szCs w:val="32"/>
        </w:rPr>
        <w:t>、20</w:t>
      </w:r>
      <w:r>
        <w:rPr>
          <w:rFonts w:hint="eastAsia" w:ascii="黑体" w:hAnsi="黑体" w:eastAsia="黑体" w:cs="黑体"/>
          <w:color w:val="auto"/>
          <w:sz w:val="32"/>
          <w:szCs w:val="32"/>
          <w:lang w:val="en-US" w:eastAsia="zh-CN"/>
        </w:rPr>
        <w:t>21年度至</w:t>
      </w:r>
      <w:r>
        <w:rPr>
          <w:rFonts w:hint="eastAsia" w:ascii="黑体" w:hAnsi="黑体" w:eastAsia="黑体" w:cs="黑体"/>
          <w:color w:val="auto"/>
          <w:sz w:val="32"/>
          <w:szCs w:val="32"/>
        </w:rPr>
        <w:t>202</w:t>
      </w:r>
      <w:r>
        <w:rPr>
          <w:rFonts w:hint="eastAsia" w:ascii="黑体" w:hAnsi="黑体" w:eastAsia="黑体" w:cs="黑体"/>
          <w:color w:val="auto"/>
          <w:sz w:val="32"/>
          <w:szCs w:val="32"/>
          <w:lang w:val="en-US" w:eastAsia="zh-CN"/>
        </w:rPr>
        <w:t>5</w:t>
      </w:r>
      <w:r>
        <w:rPr>
          <w:rFonts w:hint="eastAsia" w:ascii="黑体" w:hAnsi="黑体" w:eastAsia="黑体" w:cs="黑体"/>
          <w:color w:val="auto"/>
          <w:sz w:val="32"/>
          <w:szCs w:val="32"/>
        </w:rPr>
        <w:t>年度《单位年度考核登记表》复印件各1份</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lang w:eastAsia="zh-CN"/>
        </w:rPr>
        <w:t>九</w:t>
      </w:r>
      <w:r>
        <w:rPr>
          <w:rFonts w:hint="eastAsia" w:ascii="黑体" w:hAnsi="黑体" w:eastAsia="黑体" w:cs="黑体"/>
          <w:color w:val="auto"/>
          <w:sz w:val="32"/>
          <w:szCs w:val="32"/>
        </w:rPr>
        <w:t>、身份证复印件1份</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十、学历</w:t>
      </w:r>
      <w:r>
        <w:rPr>
          <w:rFonts w:hint="eastAsia" w:ascii="黑体" w:hAnsi="黑体" w:eastAsia="黑体" w:cs="黑体"/>
          <w:color w:val="auto"/>
          <w:sz w:val="32"/>
          <w:szCs w:val="32"/>
          <w:lang w:eastAsia="zh-CN"/>
        </w:rPr>
        <w:t>及</w:t>
      </w:r>
      <w:r>
        <w:rPr>
          <w:rFonts w:hint="eastAsia" w:ascii="黑体" w:hAnsi="黑体" w:eastAsia="黑体" w:cs="黑体"/>
          <w:color w:val="auto"/>
          <w:sz w:val="32"/>
          <w:szCs w:val="32"/>
        </w:rPr>
        <w:t>学位证书复印件1份</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提供专科及以上所有学历的证明材料。2002年后在国内取得并可在学信网（http://www.chsi.com.cn）查询的学历可只提供证书号，无需提供证书原件或复印件；在国外取得的学历、学位应提供教育部门认可的学历认证证明。</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十</w:t>
      </w:r>
      <w:r>
        <w:rPr>
          <w:rFonts w:hint="eastAsia" w:ascii="黑体" w:hAnsi="黑体" w:eastAsia="黑体" w:cs="黑体"/>
          <w:color w:val="auto"/>
          <w:sz w:val="32"/>
          <w:szCs w:val="32"/>
          <w:lang w:eastAsia="zh-CN"/>
        </w:rPr>
        <w:t>一</w:t>
      </w:r>
      <w:r>
        <w:rPr>
          <w:rFonts w:hint="eastAsia" w:ascii="黑体" w:hAnsi="黑体" w:eastAsia="黑体" w:cs="黑体"/>
          <w:color w:val="auto"/>
          <w:sz w:val="32"/>
          <w:szCs w:val="32"/>
        </w:rPr>
        <w:t>、高级会计师资格证书复印件1份</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方正黑体_GBK" w:hAnsi="方正黑体_GBK" w:eastAsia="方正黑体_GBK" w:cs="方正黑体_GBK"/>
          <w:color w:val="auto"/>
          <w:sz w:val="32"/>
          <w:szCs w:val="32"/>
        </w:rPr>
      </w:pPr>
      <w:r>
        <w:rPr>
          <w:rFonts w:hint="eastAsia" w:ascii="黑体" w:hAnsi="黑体" w:eastAsia="黑体" w:cs="黑体"/>
          <w:color w:val="auto"/>
          <w:sz w:val="32"/>
          <w:szCs w:val="32"/>
        </w:rPr>
        <w:t>十</w:t>
      </w:r>
      <w:r>
        <w:rPr>
          <w:rFonts w:hint="eastAsia" w:ascii="黑体" w:hAnsi="黑体" w:eastAsia="黑体" w:cs="黑体"/>
          <w:color w:val="auto"/>
          <w:sz w:val="32"/>
          <w:szCs w:val="32"/>
          <w:lang w:eastAsia="zh-CN"/>
        </w:rPr>
        <w:t>二</w:t>
      </w:r>
      <w:r>
        <w:rPr>
          <w:rFonts w:hint="eastAsia" w:ascii="黑体" w:hAnsi="黑体" w:eastAsia="黑体" w:cs="黑体"/>
          <w:color w:val="auto"/>
          <w:sz w:val="32"/>
          <w:szCs w:val="32"/>
        </w:rPr>
        <w:t>、高级会计师聘用证明复印件1份</w:t>
      </w:r>
      <w:r>
        <w:rPr>
          <w:rFonts w:hint="eastAsia" w:ascii="方正黑体_GBK" w:hAnsi="方正黑体_GBK" w:eastAsia="方正黑体_GBK" w:cs="方正黑体_GBK"/>
          <w:color w:val="auto"/>
          <w:sz w:val="32"/>
          <w:szCs w:val="32"/>
        </w:rPr>
        <w:t xml:space="preserve"> </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申报</w:t>
      </w:r>
      <w:r>
        <w:rPr>
          <w:rFonts w:hint="eastAsia" w:ascii="仿宋" w:hAnsi="仿宋" w:eastAsia="仿宋" w:cs="仿宋"/>
          <w:color w:val="auto"/>
          <w:sz w:val="32"/>
          <w:szCs w:val="32"/>
        </w:rPr>
        <w:t>人员应提供受聘高级会计师后近5个年度以上的聘任书或能体现专业技术职务的聘用合同复印件</w:t>
      </w:r>
      <w:r>
        <w:rPr>
          <w:rFonts w:hint="eastAsia" w:ascii="仿宋" w:hAnsi="仿宋" w:eastAsia="仿宋" w:cs="仿宋"/>
          <w:color w:val="auto"/>
          <w:sz w:val="32"/>
          <w:szCs w:val="32"/>
          <w:lang w:val="en-US" w:eastAsia="zh-CN"/>
        </w:rPr>
        <w:t>或其他证明材料</w:t>
      </w:r>
      <w:r>
        <w:rPr>
          <w:rFonts w:hint="eastAsia" w:ascii="仿宋" w:hAnsi="仿宋" w:eastAsia="仿宋" w:cs="仿宋"/>
          <w:color w:val="auto"/>
          <w:sz w:val="32"/>
          <w:szCs w:val="32"/>
        </w:rPr>
        <w:t>。</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lang w:eastAsia="zh-CN"/>
        </w:rPr>
        <w:t>事业单位</w:t>
      </w:r>
      <w:r>
        <w:rPr>
          <w:rFonts w:hint="eastAsia" w:ascii="仿宋" w:hAnsi="仿宋" w:eastAsia="仿宋" w:cs="仿宋"/>
          <w:color w:val="auto"/>
          <w:sz w:val="32"/>
          <w:szCs w:val="32"/>
          <w:lang w:val="en-US" w:eastAsia="zh-CN"/>
        </w:rPr>
        <w:t>申报</w:t>
      </w:r>
      <w:r>
        <w:rPr>
          <w:rFonts w:hint="eastAsia" w:ascii="仿宋" w:hAnsi="仿宋" w:eastAsia="仿宋" w:cs="仿宋"/>
          <w:color w:val="auto"/>
          <w:sz w:val="32"/>
          <w:szCs w:val="32"/>
          <w:lang w:eastAsia="zh-CN"/>
        </w:rPr>
        <w:t>人员还应提供聘任情况审批表或工资（岗位聘任</w:t>
      </w:r>
      <w:r>
        <w:rPr>
          <w:rFonts w:hint="eastAsia" w:ascii="仿宋" w:hAnsi="仿宋" w:eastAsia="仿宋" w:cs="仿宋"/>
          <w:color w:val="auto"/>
          <w:sz w:val="32"/>
          <w:szCs w:val="32"/>
          <w:lang w:val="en-US" w:eastAsia="zh-CN"/>
        </w:rPr>
        <w:t>/变动</w:t>
      </w:r>
      <w:r>
        <w:rPr>
          <w:rFonts w:hint="eastAsia" w:ascii="仿宋" w:hAnsi="仿宋" w:eastAsia="仿宋" w:cs="仿宋"/>
          <w:color w:val="auto"/>
          <w:sz w:val="32"/>
          <w:szCs w:val="32"/>
          <w:lang w:eastAsia="zh-CN"/>
        </w:rPr>
        <w:t>）审批表等职称聘任审批相关材料。</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公务员或参公人员转入企事业单位从事会计工作的专业技术人员，须提供企事业单位受聘证明，在现岗位工作一年以上，且从事与高级会计师职责相关工作累计满5年。</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十</w:t>
      </w:r>
      <w:r>
        <w:rPr>
          <w:rFonts w:hint="eastAsia" w:ascii="黑体" w:hAnsi="黑体" w:eastAsia="黑体" w:cs="黑体"/>
          <w:color w:val="auto"/>
          <w:sz w:val="32"/>
          <w:szCs w:val="32"/>
          <w:lang w:eastAsia="zh-CN"/>
        </w:rPr>
        <w:t>三</w:t>
      </w:r>
      <w:r>
        <w:rPr>
          <w:rFonts w:hint="eastAsia" w:ascii="黑体" w:hAnsi="黑体" w:eastAsia="黑体" w:cs="黑体"/>
          <w:color w:val="auto"/>
          <w:sz w:val="32"/>
          <w:szCs w:val="32"/>
        </w:rPr>
        <w:t>、担任现职务的任命文件复印件1份</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任职时间截至202</w:t>
      </w:r>
      <w:r>
        <w:rPr>
          <w:rFonts w:hint="eastAsia" w:ascii="仿宋" w:hAnsi="仿宋" w:eastAsia="仿宋" w:cs="仿宋"/>
          <w:color w:val="auto"/>
          <w:sz w:val="32"/>
          <w:szCs w:val="32"/>
          <w:lang w:val="en-US" w:eastAsia="zh-CN"/>
        </w:rPr>
        <w:t>5</w:t>
      </w:r>
      <w:r>
        <w:rPr>
          <w:rFonts w:hint="eastAsia" w:ascii="仿宋" w:hAnsi="仿宋" w:eastAsia="仿宋" w:cs="仿宋"/>
          <w:color w:val="auto"/>
          <w:sz w:val="32"/>
          <w:szCs w:val="32"/>
        </w:rPr>
        <w:t>年12月31日。</w:t>
      </w:r>
    </w:p>
    <w:p>
      <w:pPr>
        <w:keepNext w:val="0"/>
        <w:keepLines w:val="0"/>
        <w:pageBreakBefore w:val="0"/>
        <w:widowControl w:val="0"/>
        <w:kinsoku/>
        <w:wordWrap/>
        <w:overflowPunct/>
        <w:topLinePunct w:val="0"/>
        <w:autoSpaceDE/>
        <w:autoSpaceDN/>
        <w:bidi w:val="0"/>
        <w:adjustRightInd w:val="0"/>
        <w:snapToGrid w:val="0"/>
        <w:spacing w:line="560" w:lineRule="exact"/>
        <w:ind w:firstLine="632"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十</w:t>
      </w:r>
      <w:r>
        <w:rPr>
          <w:rFonts w:hint="eastAsia" w:ascii="黑体" w:hAnsi="黑体" w:eastAsia="黑体" w:cs="黑体"/>
          <w:color w:val="auto"/>
          <w:sz w:val="32"/>
          <w:szCs w:val="32"/>
          <w:lang w:eastAsia="zh-CN"/>
        </w:rPr>
        <w:t>四</w:t>
      </w:r>
      <w:r>
        <w:rPr>
          <w:rFonts w:hint="eastAsia" w:ascii="黑体" w:hAnsi="黑体" w:eastAsia="黑体" w:cs="黑体"/>
          <w:color w:val="auto"/>
          <w:sz w:val="32"/>
          <w:szCs w:val="32"/>
        </w:rPr>
        <w:t>、20</w:t>
      </w:r>
      <w:r>
        <w:rPr>
          <w:rFonts w:hint="eastAsia" w:ascii="黑体" w:hAnsi="黑体" w:eastAsia="黑体" w:cs="黑体"/>
          <w:color w:val="auto"/>
          <w:sz w:val="32"/>
          <w:szCs w:val="32"/>
          <w:lang w:eastAsia="zh-CN"/>
        </w:rPr>
        <w:t>2</w:t>
      </w:r>
      <w:r>
        <w:rPr>
          <w:rFonts w:hint="eastAsia" w:ascii="黑体" w:hAnsi="黑体" w:eastAsia="黑体" w:cs="黑体"/>
          <w:color w:val="auto"/>
          <w:sz w:val="32"/>
          <w:szCs w:val="32"/>
          <w:lang w:val="en-US" w:eastAsia="zh-CN"/>
        </w:rPr>
        <w:t>1年度</w:t>
      </w:r>
      <w:r>
        <w:rPr>
          <w:rFonts w:hint="eastAsia" w:ascii="黑体" w:hAnsi="黑体" w:eastAsia="黑体" w:cs="黑体"/>
          <w:color w:val="auto"/>
          <w:sz w:val="32"/>
          <w:szCs w:val="32"/>
          <w:lang w:eastAsia="zh-CN"/>
        </w:rPr>
        <w:t>至</w:t>
      </w:r>
      <w:r>
        <w:rPr>
          <w:rFonts w:hint="eastAsia" w:ascii="黑体" w:hAnsi="黑体" w:eastAsia="黑体" w:cs="黑体"/>
          <w:color w:val="auto"/>
          <w:sz w:val="32"/>
          <w:szCs w:val="32"/>
        </w:rPr>
        <w:t>202</w:t>
      </w:r>
      <w:r>
        <w:rPr>
          <w:rFonts w:hint="eastAsia" w:ascii="黑体" w:hAnsi="黑体" w:eastAsia="黑体" w:cs="黑体"/>
          <w:color w:val="auto"/>
          <w:sz w:val="32"/>
          <w:szCs w:val="32"/>
          <w:lang w:val="en-US" w:eastAsia="zh-CN"/>
        </w:rPr>
        <w:t>5</w:t>
      </w:r>
      <w:r>
        <w:rPr>
          <w:rFonts w:hint="eastAsia" w:ascii="黑体" w:hAnsi="黑体" w:eastAsia="黑体" w:cs="黑体"/>
          <w:color w:val="auto"/>
          <w:sz w:val="32"/>
          <w:szCs w:val="32"/>
        </w:rPr>
        <w:t>年度会计继续教育</w:t>
      </w:r>
      <w:r>
        <w:rPr>
          <w:rFonts w:hint="eastAsia" w:ascii="黑体" w:hAnsi="黑体" w:eastAsia="黑体" w:cs="黑体"/>
          <w:color w:val="auto"/>
          <w:sz w:val="32"/>
          <w:szCs w:val="32"/>
          <w:lang w:eastAsia="zh-CN"/>
        </w:rPr>
        <w:t>登记情况</w:t>
      </w:r>
      <w:r>
        <w:rPr>
          <w:rFonts w:hint="eastAsia" w:ascii="黑体" w:hAnsi="黑体" w:eastAsia="黑体" w:cs="黑体"/>
          <w:color w:val="auto"/>
          <w:sz w:val="32"/>
          <w:szCs w:val="32"/>
        </w:rPr>
        <w:t>1份</w:t>
      </w:r>
    </w:p>
    <w:p>
      <w:pPr>
        <w:keepNext w:val="0"/>
        <w:keepLines w:val="0"/>
        <w:pageBreakBefore w:val="0"/>
        <w:widowControl w:val="0"/>
        <w:kinsoku/>
        <w:wordWrap/>
        <w:overflowPunct/>
        <w:topLinePunct w:val="0"/>
        <w:autoSpaceDE/>
        <w:autoSpaceDN/>
        <w:bidi w:val="0"/>
        <w:adjustRightInd w:val="0"/>
        <w:snapToGrid w:val="0"/>
        <w:spacing w:line="560" w:lineRule="exact"/>
        <w:ind w:firstLine="632" w:firstLineChars="200"/>
        <w:textAlignment w:val="auto"/>
        <w:rPr>
          <w:rFonts w:hint="eastAsia" w:ascii="黑体" w:hAnsi="黑体" w:eastAsia="仿宋" w:cs="黑体"/>
          <w:color w:val="auto"/>
          <w:sz w:val="32"/>
          <w:szCs w:val="32"/>
          <w:lang w:eastAsia="zh-CN"/>
        </w:rPr>
      </w:pPr>
      <w:r>
        <w:rPr>
          <w:rFonts w:hint="eastAsia" w:ascii="仿宋" w:hAnsi="仿宋" w:eastAsia="仿宋" w:cs="仿宋"/>
          <w:color w:val="auto"/>
          <w:sz w:val="32"/>
          <w:szCs w:val="32"/>
          <w:lang w:eastAsia="zh-CN"/>
        </w:rPr>
        <w:t>提供全国会计人员统一服务管理平台上的会计继续教育登记情况</w:t>
      </w:r>
      <w:r>
        <w:rPr>
          <w:rFonts w:hint="eastAsia" w:ascii="仿宋" w:hAnsi="仿宋" w:eastAsia="仿宋" w:cs="仿宋"/>
          <w:color w:val="auto"/>
          <w:sz w:val="32"/>
          <w:szCs w:val="32"/>
          <w:lang w:val="en-US" w:eastAsia="zh-CN"/>
        </w:rPr>
        <w:t>截图复印件</w:t>
      </w:r>
      <w:r>
        <w:rPr>
          <w:rFonts w:hint="eastAsia" w:ascii="仿宋" w:hAnsi="仿宋" w:eastAsia="仿宋" w:cs="仿宋"/>
          <w:color w:val="auto"/>
          <w:sz w:val="32"/>
          <w:szCs w:val="32"/>
          <w:lang w:eastAsia="zh-CN"/>
        </w:rPr>
        <w:t>。</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十</w:t>
      </w:r>
      <w:r>
        <w:rPr>
          <w:rFonts w:hint="eastAsia" w:ascii="黑体" w:hAnsi="黑体" w:eastAsia="黑体" w:cs="黑体"/>
          <w:color w:val="auto"/>
          <w:sz w:val="32"/>
          <w:szCs w:val="32"/>
          <w:lang w:eastAsia="zh-CN"/>
        </w:rPr>
        <w:t>五</w:t>
      </w:r>
      <w:r>
        <w:rPr>
          <w:rFonts w:hint="eastAsia" w:ascii="黑体" w:hAnsi="黑体" w:eastAsia="黑体" w:cs="黑体"/>
          <w:color w:val="auto"/>
          <w:sz w:val="32"/>
          <w:szCs w:val="32"/>
        </w:rPr>
        <w:t>、取得高级会计师</w:t>
      </w:r>
      <w:r>
        <w:rPr>
          <w:rFonts w:hint="eastAsia" w:ascii="黑体" w:hAnsi="黑体" w:eastAsia="黑体" w:cs="黑体"/>
          <w:color w:val="auto"/>
          <w:sz w:val="32"/>
          <w:szCs w:val="32"/>
          <w:lang w:val="en-US" w:eastAsia="zh-CN"/>
        </w:rPr>
        <w:t>资格</w:t>
      </w:r>
      <w:r>
        <w:rPr>
          <w:rFonts w:hint="eastAsia" w:ascii="黑体" w:hAnsi="黑体" w:eastAsia="黑体" w:cs="黑体"/>
          <w:color w:val="auto"/>
          <w:sz w:val="32"/>
          <w:szCs w:val="32"/>
        </w:rPr>
        <w:t>后</w:t>
      </w:r>
      <w:r>
        <w:rPr>
          <w:rFonts w:hint="eastAsia" w:ascii="黑体" w:hAnsi="黑体" w:eastAsia="黑体" w:cs="黑体"/>
          <w:color w:val="auto"/>
          <w:sz w:val="32"/>
          <w:szCs w:val="32"/>
          <w:lang w:val="en-US" w:eastAsia="zh-CN"/>
        </w:rPr>
        <w:t>至2025年12月31日前</w:t>
      </w:r>
      <w:r>
        <w:rPr>
          <w:rFonts w:hint="eastAsia" w:ascii="黑体" w:hAnsi="黑体" w:eastAsia="黑体" w:cs="黑体"/>
          <w:color w:val="auto"/>
          <w:sz w:val="32"/>
          <w:szCs w:val="32"/>
        </w:rPr>
        <w:t>相关获奖证书复印件1份</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十</w:t>
      </w:r>
      <w:r>
        <w:rPr>
          <w:rFonts w:hint="eastAsia" w:ascii="黑体" w:hAnsi="黑体" w:eastAsia="黑体" w:cs="黑体"/>
          <w:color w:val="auto"/>
          <w:sz w:val="32"/>
          <w:szCs w:val="32"/>
          <w:lang w:eastAsia="zh-CN"/>
        </w:rPr>
        <w:t>六</w:t>
      </w:r>
      <w:r>
        <w:rPr>
          <w:rFonts w:hint="eastAsia" w:ascii="黑体" w:hAnsi="黑体" w:eastAsia="黑体" w:cs="黑体"/>
          <w:color w:val="auto"/>
          <w:sz w:val="32"/>
          <w:szCs w:val="32"/>
        </w:rPr>
        <w:t>、业绩佐证材料1份</w:t>
      </w:r>
    </w:p>
    <w:p>
      <w:pPr>
        <w:keepNext w:val="0"/>
        <w:keepLines w:val="0"/>
        <w:pageBreakBefore w:val="0"/>
        <w:widowControl w:val="0"/>
        <w:kinsoku/>
        <w:wordWrap/>
        <w:overflowPunct/>
        <w:topLinePunct w:val="0"/>
        <w:autoSpaceDE/>
        <w:autoSpaceDN/>
        <w:bidi w:val="0"/>
        <w:adjustRightInd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申报</w:t>
      </w:r>
      <w:r>
        <w:rPr>
          <w:rFonts w:hint="eastAsia" w:ascii="仿宋" w:hAnsi="仿宋" w:eastAsia="仿宋" w:cs="仿宋"/>
          <w:color w:val="auto"/>
          <w:sz w:val="32"/>
          <w:szCs w:val="32"/>
        </w:rPr>
        <w:t>人员应对照《福建省财政厅 福建省人力资源和社会保障厅关于印发&lt;福建省深化会计人员职称制度改革实施方案&gt;的通知》（闽财规〔2022〕21号）附件2《福建省正高级会计师职务任职资格评价条件》的业绩要求，提供相应</w:t>
      </w:r>
      <w:r>
        <w:rPr>
          <w:rFonts w:hint="eastAsia" w:ascii="仿宋" w:hAnsi="仿宋" w:eastAsia="仿宋" w:cs="仿宋"/>
          <w:color w:val="auto"/>
          <w:sz w:val="32"/>
          <w:szCs w:val="32"/>
          <w:lang w:val="en-US" w:eastAsia="zh-CN"/>
        </w:rPr>
        <w:t>佐证</w:t>
      </w:r>
      <w:r>
        <w:rPr>
          <w:rFonts w:hint="eastAsia" w:ascii="仿宋" w:hAnsi="仿宋" w:eastAsia="仿宋" w:cs="仿宋"/>
          <w:color w:val="auto"/>
          <w:sz w:val="32"/>
          <w:szCs w:val="32"/>
        </w:rPr>
        <w:t>材料。业绩</w:t>
      </w:r>
      <w:r>
        <w:rPr>
          <w:rFonts w:hint="eastAsia" w:ascii="仿宋" w:hAnsi="仿宋" w:eastAsia="仿宋" w:cs="仿宋"/>
          <w:color w:val="auto"/>
          <w:sz w:val="32"/>
          <w:szCs w:val="32"/>
          <w:lang w:val="en-US" w:eastAsia="zh-CN"/>
        </w:rPr>
        <w:t>佐证</w:t>
      </w:r>
      <w:r>
        <w:rPr>
          <w:rFonts w:hint="eastAsia" w:ascii="仿宋" w:hAnsi="仿宋" w:eastAsia="仿宋" w:cs="仿宋"/>
          <w:color w:val="auto"/>
          <w:sz w:val="32"/>
          <w:szCs w:val="32"/>
        </w:rPr>
        <w:t>材料</w:t>
      </w:r>
      <w:r>
        <w:rPr>
          <w:rFonts w:hint="eastAsia" w:ascii="仿宋" w:hAnsi="仿宋" w:eastAsia="仿宋" w:cs="仿宋"/>
          <w:color w:val="auto"/>
          <w:sz w:val="32"/>
          <w:szCs w:val="32"/>
          <w:lang w:val="en-US" w:eastAsia="zh-CN"/>
        </w:rPr>
        <w:t>时间截至2025年12月31日</w:t>
      </w:r>
      <w:r>
        <w:rPr>
          <w:rFonts w:hint="eastAsia" w:ascii="仿宋" w:hAnsi="仿宋" w:eastAsia="仿宋" w:cs="仿宋"/>
          <w:color w:val="auto"/>
          <w:sz w:val="32"/>
          <w:szCs w:val="32"/>
        </w:rPr>
        <w:t>，</w:t>
      </w:r>
      <w:r>
        <w:rPr>
          <w:rFonts w:hint="eastAsia" w:ascii="仿宋" w:hAnsi="仿宋" w:eastAsia="仿宋" w:cs="仿宋"/>
          <w:color w:val="auto"/>
          <w:sz w:val="32"/>
          <w:szCs w:val="32"/>
          <w:lang w:val="en-US" w:eastAsia="zh-CN"/>
        </w:rPr>
        <w:t>且相关内容应</w:t>
      </w:r>
      <w:r>
        <w:rPr>
          <w:rFonts w:hint="eastAsia" w:ascii="仿宋" w:hAnsi="仿宋" w:eastAsia="仿宋" w:cs="仿宋"/>
          <w:color w:val="auto"/>
          <w:sz w:val="32"/>
          <w:szCs w:val="32"/>
        </w:rPr>
        <w:t>与《评审表》《个人情况表》中有关内容相一致。</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十</w:t>
      </w:r>
      <w:r>
        <w:rPr>
          <w:rFonts w:hint="eastAsia" w:ascii="黑体" w:hAnsi="黑体" w:eastAsia="黑体" w:cs="黑体"/>
          <w:color w:val="auto"/>
          <w:sz w:val="32"/>
          <w:szCs w:val="32"/>
          <w:lang w:eastAsia="zh-CN"/>
        </w:rPr>
        <w:t>七</w:t>
      </w:r>
      <w:r>
        <w:rPr>
          <w:rFonts w:hint="eastAsia" w:ascii="黑体" w:hAnsi="黑体" w:eastAsia="黑体" w:cs="黑体"/>
          <w:color w:val="auto"/>
          <w:sz w:val="32"/>
          <w:szCs w:val="32"/>
        </w:rPr>
        <w:t>、202</w:t>
      </w:r>
      <w:r>
        <w:rPr>
          <w:rFonts w:hint="eastAsia" w:ascii="黑体" w:hAnsi="黑体" w:eastAsia="黑体" w:cs="黑体"/>
          <w:color w:val="auto"/>
          <w:sz w:val="32"/>
          <w:szCs w:val="32"/>
          <w:lang w:val="en-US" w:eastAsia="zh-CN"/>
        </w:rPr>
        <w:t>5</w:t>
      </w:r>
      <w:r>
        <w:rPr>
          <w:rFonts w:hint="eastAsia" w:ascii="黑体" w:hAnsi="黑体" w:eastAsia="黑体" w:cs="黑体"/>
          <w:color w:val="auto"/>
          <w:sz w:val="32"/>
          <w:szCs w:val="32"/>
        </w:rPr>
        <w:t>年审计报告（简表）复印件1份</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提供外部审计报告的审计意见、资产负债表、利润表和所有者权益变动表复印件。未进行外部审计的单位不提供。</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十</w:t>
      </w:r>
      <w:r>
        <w:rPr>
          <w:rFonts w:hint="eastAsia" w:ascii="黑体" w:hAnsi="黑体" w:eastAsia="黑体" w:cs="黑体"/>
          <w:color w:val="auto"/>
          <w:sz w:val="32"/>
          <w:szCs w:val="32"/>
          <w:lang w:eastAsia="zh-CN"/>
        </w:rPr>
        <w:t>八</w:t>
      </w:r>
      <w:r>
        <w:rPr>
          <w:rFonts w:hint="eastAsia" w:ascii="黑体" w:hAnsi="黑体" w:eastAsia="黑体" w:cs="黑体"/>
          <w:color w:val="auto"/>
          <w:sz w:val="32"/>
          <w:szCs w:val="32"/>
        </w:rPr>
        <w:t>、评审材料真实性保证书1份</w:t>
      </w:r>
    </w:p>
    <w:p>
      <w:pPr>
        <w:keepNext w:val="0"/>
        <w:keepLines w:val="0"/>
        <w:pageBreakBefore w:val="0"/>
        <w:widowControl w:val="0"/>
        <w:kinsoku/>
        <w:wordWrap/>
        <w:overflowPunct/>
        <w:topLinePunct w:val="0"/>
        <w:autoSpaceDE/>
        <w:autoSpaceDN/>
        <w:bidi w:val="0"/>
        <w:adjustRightInd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评审材料真实性保证书在申报系统中填列并导出打印，按要求签章。</w:t>
      </w:r>
      <w:r>
        <w:rPr>
          <w:rFonts w:hint="eastAsia" w:ascii="仿宋" w:hAnsi="仿宋" w:eastAsia="仿宋" w:cs="仿宋"/>
          <w:color w:val="auto"/>
          <w:sz w:val="32"/>
          <w:szCs w:val="32"/>
          <w:lang w:val="en-US" w:eastAsia="zh-CN"/>
        </w:rPr>
        <w:t>电子版需</w:t>
      </w:r>
      <w:r>
        <w:rPr>
          <w:rFonts w:hint="eastAsia" w:ascii="仿宋" w:hAnsi="仿宋" w:eastAsia="仿宋" w:cs="仿宋"/>
          <w:color w:val="auto"/>
          <w:sz w:val="32"/>
          <w:szCs w:val="32"/>
          <w:highlight w:val="none"/>
          <w:lang w:eastAsia="zh-CN"/>
        </w:rPr>
        <w:t>上传至报名</w:t>
      </w:r>
      <w:r>
        <w:rPr>
          <w:rFonts w:hint="eastAsia" w:ascii="仿宋" w:hAnsi="仿宋" w:eastAsia="仿宋" w:cs="仿宋"/>
          <w:color w:val="auto"/>
          <w:sz w:val="32"/>
          <w:szCs w:val="32"/>
          <w:highlight w:val="none"/>
        </w:rPr>
        <w:t>系统</w:t>
      </w:r>
      <w:r>
        <w:rPr>
          <w:rFonts w:hint="eastAsia" w:ascii="仿宋" w:hAnsi="仿宋" w:eastAsia="仿宋" w:cs="仿宋"/>
          <w:color w:val="auto"/>
          <w:sz w:val="32"/>
          <w:szCs w:val="32"/>
          <w:highlight w:val="none"/>
          <w:lang w:eastAsia="zh-CN"/>
        </w:rPr>
        <w:t>中的“资料上传——近五年考核情况”模块。</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lang w:eastAsia="zh-CN"/>
        </w:rPr>
        <w:t>十九</w:t>
      </w:r>
      <w:r>
        <w:rPr>
          <w:rFonts w:hint="eastAsia" w:ascii="黑体" w:hAnsi="黑体" w:eastAsia="黑体" w:cs="黑体"/>
          <w:color w:val="auto"/>
          <w:sz w:val="32"/>
          <w:szCs w:val="32"/>
        </w:rPr>
        <w:t>、评审材料光盘1份</w:t>
      </w:r>
    </w:p>
    <w:p>
      <w:pPr>
        <w:keepNext w:val="0"/>
        <w:keepLines w:val="0"/>
        <w:pageBreakBefore w:val="0"/>
        <w:widowControl w:val="0"/>
        <w:kinsoku/>
        <w:wordWrap/>
        <w:overflowPunct/>
        <w:topLinePunct w:val="0"/>
        <w:autoSpaceDE/>
        <w:autoSpaceDN/>
        <w:bidi w:val="0"/>
        <w:adjustRightInd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（一）光盘刻录要求：所有刻录在光盘上的内容必须与网页填报、提供的纸质申报材料完全一致</w:t>
      </w:r>
      <w:r>
        <w:rPr>
          <w:rFonts w:hint="eastAsia" w:ascii="仿宋" w:hAnsi="仿宋" w:eastAsia="仿宋" w:cs="仿宋"/>
          <w:color w:val="auto"/>
          <w:sz w:val="32"/>
          <w:szCs w:val="32"/>
          <w:lang w:eastAsia="zh-CN"/>
        </w:rPr>
        <w:t>。三者不一致的，资格审核不通过</w:t>
      </w:r>
      <w:r>
        <w:rPr>
          <w:rFonts w:hint="eastAsia" w:ascii="仿宋" w:hAnsi="仿宋" w:eastAsia="仿宋" w:cs="仿宋"/>
          <w:color w:val="auto"/>
          <w:sz w:val="32"/>
          <w:szCs w:val="32"/>
        </w:rPr>
        <w:t>。</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（二）光盘刻录内容：建立一个以申报人</w:t>
      </w:r>
      <w:r>
        <w:rPr>
          <w:rFonts w:hint="eastAsia" w:ascii="仿宋" w:hAnsi="仿宋" w:eastAsia="仿宋" w:cs="仿宋"/>
          <w:color w:val="auto"/>
          <w:sz w:val="32"/>
          <w:szCs w:val="32"/>
          <w:lang w:val="en-US" w:eastAsia="zh-CN"/>
        </w:rPr>
        <w:t>员</w:t>
      </w:r>
      <w:r>
        <w:rPr>
          <w:rFonts w:hint="eastAsia" w:ascii="仿宋" w:hAnsi="仿宋" w:eastAsia="仿宋" w:cs="仿宋"/>
          <w:color w:val="auto"/>
          <w:sz w:val="32"/>
          <w:szCs w:val="32"/>
        </w:rPr>
        <w:t>姓名命名的文件夹，文件夹内应包括：所有申报论文、著作、课题（指定为代表作的应在电子版文件名中标明</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；有著作的应提供著作主要观点及提要；</w:t>
      </w:r>
      <w:r>
        <w:rPr>
          <w:rFonts w:hint="eastAsia" w:ascii="仿宋" w:hAnsi="仿宋" w:eastAsia="仿宋" w:cs="仿宋"/>
          <w:color w:val="auto"/>
          <w:sz w:val="32"/>
          <w:szCs w:val="32"/>
          <w:lang w:val="en-US" w:eastAsia="zh-CN"/>
        </w:rPr>
        <w:t>会计</w:t>
      </w:r>
      <w:r>
        <w:rPr>
          <w:rFonts w:hint="eastAsia" w:ascii="仿宋" w:hAnsi="仿宋" w:eastAsia="仿宋" w:cs="仿宋"/>
          <w:color w:val="auto"/>
          <w:sz w:val="32"/>
          <w:szCs w:val="32"/>
        </w:rPr>
        <w:t>案例或调研报告、《个人情况表》《评审表》《单位推荐意见》《单位简介》等电子文档（doc格式）各1份，个人近期证件照电子文档（jpg格式）1份。</w:t>
      </w:r>
    </w:p>
    <w:p>
      <w:pPr>
        <w:keepNext w:val="0"/>
        <w:keepLines w:val="0"/>
        <w:pageBreakBefore w:val="0"/>
        <w:widowControl w:val="0"/>
        <w:kinsoku/>
        <w:wordWrap/>
        <w:overflowPunct/>
        <w:topLinePunct w:val="0"/>
        <w:autoSpaceDE/>
        <w:autoSpaceDN/>
        <w:bidi w:val="0"/>
        <w:adjustRightInd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（三）电子版论文代表作刻录要求：仅包括文章标题和正文内容，不</w:t>
      </w:r>
      <w:r>
        <w:rPr>
          <w:rFonts w:hint="eastAsia" w:ascii="仿宋" w:hAnsi="仿宋" w:eastAsia="仿宋" w:cs="仿宋"/>
          <w:color w:val="auto"/>
          <w:sz w:val="32"/>
          <w:szCs w:val="32"/>
          <w:lang w:val="en-US" w:eastAsia="zh-CN"/>
        </w:rPr>
        <w:t>得</w:t>
      </w:r>
      <w:r>
        <w:rPr>
          <w:rFonts w:hint="eastAsia" w:ascii="仿宋" w:hAnsi="仿宋" w:eastAsia="仿宋" w:cs="仿宋"/>
          <w:color w:val="auto"/>
          <w:sz w:val="32"/>
          <w:szCs w:val="32"/>
        </w:rPr>
        <w:t>体现作者姓名和工作单位</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文章标题和正文内容中有出现单位名称的应用字符代替</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正文内容</w:t>
      </w:r>
      <w:r>
        <w:rPr>
          <w:rFonts w:hint="eastAsia" w:ascii="仿宋" w:hAnsi="仿宋" w:eastAsia="仿宋" w:cs="仿宋"/>
          <w:color w:val="auto"/>
          <w:sz w:val="32"/>
          <w:szCs w:val="32"/>
          <w:lang w:eastAsia="zh-CN"/>
        </w:rPr>
        <w:t>中如有表格，边框应设置成“无框线”；</w:t>
      </w:r>
      <w:r>
        <w:rPr>
          <w:rFonts w:hint="eastAsia" w:ascii="仿宋" w:hAnsi="仿宋" w:eastAsia="仿宋" w:cs="仿宋"/>
          <w:color w:val="auto"/>
          <w:sz w:val="32"/>
          <w:szCs w:val="32"/>
        </w:rPr>
        <w:t>正文内容应与期刊发表及系统填报完全一致。</w:t>
      </w:r>
    </w:p>
    <w:p>
      <w:pPr>
        <w:keepNext w:val="0"/>
        <w:keepLines w:val="0"/>
        <w:pageBreakBefore w:val="0"/>
        <w:widowControl w:val="0"/>
        <w:kinsoku/>
        <w:wordWrap/>
        <w:overflowPunct/>
        <w:topLinePunct w:val="0"/>
        <w:autoSpaceDE/>
        <w:autoSpaceDN/>
        <w:bidi w:val="0"/>
        <w:adjustRightInd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（四）电子版</w:t>
      </w:r>
      <w:r>
        <w:rPr>
          <w:rFonts w:hint="eastAsia" w:ascii="仿宋" w:hAnsi="仿宋" w:eastAsia="仿宋" w:cs="仿宋"/>
          <w:color w:val="auto"/>
          <w:sz w:val="32"/>
          <w:szCs w:val="32"/>
          <w:lang w:val="en-US" w:eastAsia="zh-CN"/>
        </w:rPr>
        <w:t>会计</w:t>
      </w:r>
      <w:r>
        <w:rPr>
          <w:rFonts w:hint="eastAsia" w:ascii="仿宋" w:hAnsi="仿宋" w:eastAsia="仿宋" w:cs="仿宋"/>
          <w:color w:val="auto"/>
          <w:sz w:val="32"/>
          <w:szCs w:val="32"/>
        </w:rPr>
        <w:t>案例或调研报告刻录要求：仅包括文章标题和正文内容，不</w:t>
      </w:r>
      <w:r>
        <w:rPr>
          <w:rFonts w:hint="eastAsia" w:ascii="仿宋" w:hAnsi="仿宋" w:eastAsia="仿宋" w:cs="仿宋"/>
          <w:color w:val="auto"/>
          <w:sz w:val="32"/>
          <w:szCs w:val="32"/>
          <w:lang w:val="en-US" w:eastAsia="zh-CN"/>
        </w:rPr>
        <w:t>得</w:t>
      </w:r>
      <w:r>
        <w:rPr>
          <w:rFonts w:hint="eastAsia" w:ascii="仿宋" w:hAnsi="仿宋" w:eastAsia="仿宋" w:cs="仿宋"/>
          <w:color w:val="auto"/>
          <w:sz w:val="32"/>
          <w:szCs w:val="32"/>
        </w:rPr>
        <w:t>体现作者姓名和工作单位</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文章标题和正文内容中有出现单位名称的应用字符代替</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正文内容</w:t>
      </w:r>
      <w:r>
        <w:rPr>
          <w:rFonts w:hint="eastAsia" w:ascii="仿宋" w:hAnsi="仿宋" w:eastAsia="仿宋" w:cs="仿宋"/>
          <w:color w:val="auto"/>
          <w:sz w:val="32"/>
          <w:szCs w:val="32"/>
          <w:lang w:eastAsia="zh-CN"/>
        </w:rPr>
        <w:t>中如有表格，边框应设置成“无框线”；</w:t>
      </w:r>
      <w:r>
        <w:rPr>
          <w:rFonts w:hint="eastAsia" w:ascii="仿宋" w:hAnsi="仿宋" w:eastAsia="仿宋" w:cs="仿宋"/>
          <w:color w:val="auto"/>
          <w:sz w:val="32"/>
          <w:szCs w:val="32"/>
        </w:rPr>
        <w:t>正文内容应与系统填报完全一致。</w:t>
      </w:r>
    </w:p>
    <w:p>
      <w:pPr>
        <w:keepNext w:val="0"/>
        <w:keepLines w:val="0"/>
        <w:pageBreakBefore w:val="0"/>
        <w:widowControl w:val="0"/>
        <w:kinsoku/>
        <w:wordWrap/>
        <w:overflowPunct/>
        <w:topLinePunct w:val="0"/>
        <w:autoSpaceDE/>
        <w:autoSpaceDN/>
        <w:bidi w:val="0"/>
        <w:adjustRightInd w:val="0"/>
        <w:snapToGrid w:val="0"/>
        <w:spacing w:line="560" w:lineRule="exact"/>
        <w:ind w:firstLine="632"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rPr>
        <w:t>（五）</w:t>
      </w:r>
      <w:r>
        <w:rPr>
          <w:rFonts w:hint="eastAsia" w:ascii="仿宋" w:hAnsi="仿宋" w:eastAsia="仿宋" w:cs="仿宋"/>
          <w:color w:val="auto"/>
          <w:sz w:val="32"/>
          <w:szCs w:val="32"/>
          <w:highlight w:val="none"/>
        </w:rPr>
        <w:t>各项目文件名的要求：以“地区+姓名+项目名称”</w:t>
      </w:r>
      <w:r>
        <w:rPr>
          <w:rFonts w:hint="eastAsia" w:ascii="仿宋" w:hAnsi="仿宋" w:eastAsia="仿宋" w:cs="仿宋"/>
          <w:color w:val="auto"/>
          <w:sz w:val="32"/>
          <w:szCs w:val="32"/>
          <w:highlight w:val="none"/>
          <w:lang w:eastAsia="zh-CN"/>
        </w:rPr>
        <w:t>作</w:t>
      </w:r>
      <w:r>
        <w:rPr>
          <w:rFonts w:hint="eastAsia" w:ascii="仿宋" w:hAnsi="仿宋" w:eastAsia="仿宋" w:cs="仿宋"/>
          <w:color w:val="auto"/>
          <w:sz w:val="32"/>
          <w:szCs w:val="32"/>
          <w:highlight w:val="none"/>
        </w:rPr>
        <w:t>为文件名（例如：厦门张三论文代表作、厦门张三财会案例、厦门张三个人情况表等）。</w:t>
      </w:r>
    </w:p>
    <w:p>
      <w:pPr>
        <w:keepNext w:val="0"/>
        <w:keepLines w:val="0"/>
        <w:pageBreakBefore w:val="0"/>
        <w:widowControl w:val="0"/>
        <w:kinsoku/>
        <w:wordWrap/>
        <w:overflowPunct/>
        <w:topLinePunct w:val="0"/>
        <w:autoSpaceDE/>
        <w:autoSpaceDN/>
        <w:bidi w:val="0"/>
        <w:adjustRightInd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（六）电子文档相片应与网页版申报系统上传相片一致。</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二十、材料</w:t>
      </w:r>
      <w:r>
        <w:rPr>
          <w:rFonts w:hint="eastAsia" w:ascii="黑体" w:hAnsi="黑体" w:eastAsia="黑体" w:cs="黑体"/>
          <w:color w:val="auto"/>
          <w:sz w:val="32"/>
          <w:szCs w:val="32"/>
          <w:lang w:val="en-US" w:eastAsia="zh-CN"/>
        </w:rPr>
        <w:t>整理</w:t>
      </w:r>
      <w:r>
        <w:rPr>
          <w:rFonts w:hint="eastAsia" w:ascii="黑体" w:hAnsi="黑体" w:eastAsia="黑体" w:cs="黑体"/>
          <w:color w:val="auto"/>
          <w:sz w:val="32"/>
          <w:szCs w:val="32"/>
        </w:rPr>
        <w:t>要求</w:t>
      </w:r>
    </w:p>
    <w:p>
      <w:pPr>
        <w:keepNext w:val="0"/>
        <w:keepLines w:val="0"/>
        <w:pageBreakBefore w:val="0"/>
        <w:widowControl w:val="0"/>
        <w:kinsoku/>
        <w:wordWrap/>
        <w:overflowPunct/>
        <w:topLinePunct w:val="0"/>
        <w:autoSpaceDE/>
        <w:autoSpaceDN/>
        <w:bidi w:val="0"/>
        <w:adjustRightInd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（一）为了保证资料不遗失，务必使用大号、可用细绳缠绕封口的牢固的牛皮纸</w:t>
      </w:r>
      <w:r>
        <w:rPr>
          <w:rFonts w:hint="eastAsia" w:ascii="仿宋" w:hAnsi="仿宋" w:eastAsia="仿宋" w:cs="仿宋"/>
          <w:color w:val="auto"/>
          <w:sz w:val="32"/>
          <w:szCs w:val="32"/>
          <w:lang w:eastAsia="zh-CN"/>
        </w:rPr>
        <w:t>档案</w:t>
      </w:r>
      <w:r>
        <w:rPr>
          <w:rFonts w:hint="eastAsia" w:ascii="仿宋" w:hAnsi="仿宋" w:eastAsia="仿宋" w:cs="仿宋"/>
          <w:color w:val="auto"/>
          <w:sz w:val="32"/>
          <w:szCs w:val="32"/>
        </w:rPr>
        <w:t>袋，不受理其他非牛皮纸</w:t>
      </w:r>
      <w:r>
        <w:rPr>
          <w:rFonts w:hint="eastAsia" w:ascii="仿宋" w:hAnsi="仿宋" w:eastAsia="仿宋" w:cs="仿宋"/>
          <w:color w:val="auto"/>
          <w:sz w:val="32"/>
          <w:szCs w:val="32"/>
          <w:lang w:eastAsia="zh-CN"/>
        </w:rPr>
        <w:t>档案</w:t>
      </w:r>
      <w:r>
        <w:rPr>
          <w:rFonts w:hint="eastAsia" w:ascii="仿宋" w:hAnsi="仿宋" w:eastAsia="仿宋" w:cs="仿宋"/>
          <w:color w:val="auto"/>
          <w:sz w:val="32"/>
          <w:szCs w:val="32"/>
        </w:rPr>
        <w:t>袋包装的材料。材料袋上应详细注明申报人</w:t>
      </w:r>
      <w:r>
        <w:rPr>
          <w:rFonts w:hint="eastAsia" w:ascii="仿宋" w:hAnsi="仿宋" w:eastAsia="仿宋" w:cs="仿宋"/>
          <w:color w:val="auto"/>
          <w:sz w:val="32"/>
          <w:szCs w:val="32"/>
          <w:lang w:val="en-US" w:eastAsia="zh-CN"/>
        </w:rPr>
        <w:t>员</w:t>
      </w:r>
      <w:r>
        <w:rPr>
          <w:rFonts w:hint="eastAsia" w:ascii="仿宋" w:hAnsi="仿宋" w:eastAsia="仿宋" w:cs="仿宋"/>
          <w:color w:val="auto"/>
          <w:sz w:val="32"/>
          <w:szCs w:val="32"/>
        </w:rPr>
        <w:t>的姓名、单位、地址、邮编、联系电话</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单位职改办</w:t>
      </w:r>
      <w:r>
        <w:rPr>
          <w:rFonts w:hint="eastAsia" w:ascii="仿宋" w:hAnsi="仿宋" w:eastAsia="仿宋" w:cs="仿宋"/>
          <w:color w:val="auto"/>
          <w:sz w:val="32"/>
          <w:szCs w:val="32"/>
          <w:lang w:val="en-US" w:eastAsia="zh-CN"/>
        </w:rPr>
        <w:t>联系人及</w:t>
      </w:r>
      <w:r>
        <w:rPr>
          <w:rFonts w:hint="eastAsia" w:ascii="仿宋" w:hAnsi="仿宋" w:eastAsia="仿宋" w:cs="仿宋"/>
          <w:color w:val="auto"/>
          <w:sz w:val="32"/>
          <w:szCs w:val="32"/>
        </w:rPr>
        <w:t>电话。</w:t>
      </w:r>
      <w:r>
        <w:rPr>
          <w:rFonts w:hint="eastAsia" w:ascii="仿宋" w:hAnsi="仿宋" w:eastAsia="仿宋" w:cs="仿宋"/>
          <w:color w:val="auto"/>
          <w:sz w:val="32"/>
          <w:szCs w:val="32"/>
          <w:lang w:eastAsia="zh-CN"/>
        </w:rPr>
        <w:t>除论文期刊和专著以外的</w:t>
      </w:r>
      <w:r>
        <w:rPr>
          <w:rFonts w:hint="eastAsia" w:ascii="仿宋" w:hAnsi="仿宋" w:eastAsia="仿宋" w:cs="仿宋"/>
          <w:color w:val="auto"/>
          <w:sz w:val="32"/>
          <w:szCs w:val="32"/>
        </w:rPr>
        <w:t>原件必须单独装袋，提交给工作人员现场审核后收回。</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（二）按第一项到第十九项的顺序叠放材料。所有材料均用A4纸双面打印，</w:t>
      </w:r>
      <w:r>
        <w:rPr>
          <w:rFonts w:hint="eastAsia" w:ascii="仿宋" w:hAnsi="仿宋" w:eastAsia="仿宋"/>
          <w:color w:val="auto"/>
        </w:rPr>
        <w:t>每份申报材料的右上角加盖本单位公章或主管单位职改办公章，每份材料有2页以上的还须加盖骑缝章。</w:t>
      </w:r>
      <w:r>
        <w:rPr>
          <w:rFonts w:hint="eastAsia" w:ascii="仿宋" w:hAnsi="仿宋" w:eastAsia="仿宋" w:cs="仿宋"/>
          <w:color w:val="auto"/>
        </w:rPr>
        <w:t>对提交的复印件须与原件核对，逐项签署核对人姓名</w:t>
      </w:r>
      <w:r>
        <w:rPr>
          <w:rFonts w:hint="eastAsia" w:ascii="仿宋" w:hAnsi="仿宋" w:eastAsia="仿宋"/>
          <w:color w:val="auto"/>
        </w:rPr>
        <w:t>和审查意见，并加盖单位公章。</w:t>
      </w:r>
      <w:r>
        <w:rPr>
          <w:rFonts w:hint="eastAsia" w:ascii="仿宋" w:hAnsi="仿宋" w:eastAsia="仿宋" w:cs="仿宋"/>
          <w:color w:val="auto"/>
          <w:sz w:val="32"/>
          <w:szCs w:val="32"/>
        </w:rPr>
        <w:t>每份材料不要另行加装封面，不要将所有材料合订成册。除《评审表》用胶水在左侧面粘贴成册外，其余材料均用订书钉在左侧装订。</w:t>
      </w:r>
    </w:p>
    <w:p>
      <w:pPr>
        <w:keepNext w:val="0"/>
        <w:keepLines w:val="0"/>
        <w:pageBreakBefore w:val="0"/>
        <w:widowControl w:val="0"/>
        <w:kinsoku/>
        <w:overflowPunct/>
        <w:topLinePunct w:val="0"/>
        <w:autoSpaceDE/>
        <w:autoSpaceDN/>
        <w:bidi w:val="0"/>
        <w:snapToGrid w:val="0"/>
        <w:spacing w:line="560" w:lineRule="exact"/>
        <w:ind w:firstLine="632"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（三）上传至系统内的材料应清晰完整（复印件应按要求加盖公章后再拍照或扫描上传），格式可以为jpg、jpeg、png、doc、xls、xlsx、pdf等，单个文件的大小不超过2MB。</w:t>
      </w:r>
    </w:p>
    <w:p>
      <w:pPr>
        <w:ind w:firstLine="632" w:firstLineChars="200"/>
        <w:rPr>
          <w:rFonts w:hint="eastAsia" w:ascii="仿宋" w:hAnsi="仿宋" w:eastAsia="仿宋" w:cs="仿宋"/>
          <w:sz w:val="32"/>
          <w:szCs w:val="32"/>
        </w:rPr>
      </w:pPr>
      <w:bookmarkStart w:id="0" w:name="_GoBack"/>
      <w:bookmarkEnd w:id="0"/>
    </w:p>
    <w:sectPr>
      <w:headerReference r:id="rId5" w:type="first"/>
      <w:footerReference r:id="rId8" w:type="first"/>
      <w:headerReference r:id="rId3" w:type="default"/>
      <w:footerReference r:id="rId6" w:type="default"/>
      <w:headerReference r:id="rId4" w:type="even"/>
      <w:footerReference r:id="rId7" w:type="even"/>
      <w:pgSz w:w="11906" w:h="16838"/>
      <w:pgMar w:top="2098" w:right="1474" w:bottom="1984" w:left="1587" w:header="851" w:footer="992" w:gutter="0"/>
      <w:pgNumType w:fmt="numberInDash"/>
      <w:cols w:space="0" w:num="1"/>
      <w:titlePg/>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等线">
    <w:altName w:val="Arial Unicode MS"/>
    <w:panose1 w:val="00000000000000000000"/>
    <w:charset w:val="86"/>
    <w:family w:val="auto"/>
    <w:pitch w:val="default"/>
    <w:sig w:usb0="00000000" w:usb1="00000000" w:usb2="00000000" w:usb3="00000000" w:csb0="00000000" w:csb1="00000000"/>
  </w:font>
  <w:font w:name="等线">
    <w:altName w:val="Arial Unicode MS"/>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方正黑体_GBK">
    <w:altName w:val="Arial Unicode MS"/>
    <w:panose1 w:val="02000000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ind w:right="360"/>
      <w:jc w:val="right"/>
      <w:rPr>
        <w:rFonts w:hint="eastAsia" w:ascii="宋体" w:hAnsi="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ind w:right="640" w:rightChars="200"/>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ind w:right="640" w:rightChars="200"/>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left="320" w:leftChars="100" w:right="0" w:firstLine="0" w:firstLineChars="0"/>
      <w:rPr>
        <w:rFonts w:hint="eastAsia" w:ascii="宋体" w:hAnsi="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ind w:left="320" w:leftChars="100"/>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- 2 -</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fill on="f" focussize="0,0"/>
              <v:stroke on="f" weight="0.5pt"/>
              <v:imagedata o:title=""/>
              <o:lock v:ext="edit" aspectratio="f"/>
              <v:textbox inset="0mm,0mm,0mm,0mm" style="mso-fit-shape-to-text:t;">
                <w:txbxContent>
                  <w:p>
                    <w:pPr>
                      <w:pStyle w:val="2"/>
                      <w:ind w:left="320" w:leftChars="100"/>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- 2 -</w:t>
                    </w:r>
                    <w:r>
                      <w:rPr>
                        <w:rFonts w:hint="eastAsia" w:ascii="宋体" w:hAnsi="宋体" w:eastAsia="宋体" w:cs="宋体"/>
                        <w:sz w:val="28"/>
                        <w:szCs w:val="28"/>
                        <w:lang w:eastAsia="zh-CN"/>
                      </w:rPr>
                      <w:fldChar w:fldCharType="end"/>
                    </w:r>
                  </w:p>
                </w:txbxContent>
              </v:textbox>
            </v:shape>
          </w:pict>
        </mc:Fallback>
      </mc:AlternateContent>
    </w: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ind w:left="320" w:leftChars="100" w:right="0" w:firstLine="0" w:firstLineChars="0"/>
                          </w:pP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ind w:left="320" w:leftChars="100" w:right="0" w:firstLine="0" w:firstLineChars="0"/>
                    </w:pPr>
                  </w:p>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63360" behindDoc="0" locked="0" layoutInCell="1" allowOverlap="1">
              <wp:simplePos x="0" y="0"/>
              <wp:positionH relativeFrom="page">
                <wp:posOffset>742950</wp:posOffset>
              </wp:positionH>
              <wp:positionV relativeFrom="paragraph">
                <wp:posOffset>-177165</wp:posOffset>
              </wp:positionV>
              <wp:extent cx="6120130" cy="0"/>
              <wp:effectExtent l="0" t="31750" r="6350" b="44450"/>
              <wp:wrapNone/>
              <wp:docPr id="5" name="直接连接符 5"/>
              <wp:cNvGraphicFramePr/>
              <a:graphic xmlns:a="http://schemas.openxmlformats.org/drawingml/2006/main">
                <a:graphicData uri="http://schemas.microsoft.com/office/word/2010/wordprocessingShape">
                  <wps:wsp>
                    <wps:cNvCnPr/>
                    <wps:spPr>
                      <a:xfrm>
                        <a:off x="0" y="0"/>
                        <a:ext cx="6120130" cy="0"/>
                      </a:xfrm>
                      <a:prstGeom prst="line">
                        <a:avLst/>
                      </a:prstGeom>
                      <a:ln w="63500" cap="flat" cmpd="thinThick">
                        <a:solidFill>
                          <a:schemeClr val="bg1"/>
                        </a:solidFill>
                        <a:prstDash val="solid"/>
                        <a:headEnd type="none" w="med" len="med"/>
                        <a:tailEnd type="none" w="med" len="med"/>
                      </a:ln>
                    </wps:spPr>
                    <wps:bodyPr upright="1"/>
                  </wps:wsp>
                </a:graphicData>
              </a:graphic>
            </wp:anchor>
          </w:drawing>
        </mc:Choice>
        <mc:Fallback>
          <w:pict>
            <v:line id="_x0000_s1026" o:spid="_x0000_s1026" o:spt="20" style="position:absolute;left:0pt;margin-left:58.5pt;margin-top:-13.95pt;height:0pt;width:481.9pt;mso-position-horizontal-relative:page;z-index:251663360;mso-width-relative:page;mso-height-relative:page;" filled="f" stroked="t" coordsize="21600,21600" o:gfxdata="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JksWATYAAAADAEAAA8A&#10;AAAAAAAAAQAgAAAAIgAAAGRycy9kb3ducmV2LnhtbFBLAQIUABQAAAAIAIdO4kDNEh7T3gEAAJ0D&#10;AAAOAAAAAAAAAAEAIAAAACcBAABkcnMvZTJvRG9jLnhtbFBLBQYAAAAABgAGAFkBAAB3BQAAAAA=&#10;">
              <v:fill on="f" focussize="0,0"/>
              <v:stroke weight="5pt" color="#FFFFFF [3212]" linestyle="thinThick" joinstyle="round"/>
              <v:imagedata o:title=""/>
              <o:lock v:ext="edit" aspectratio="f"/>
            </v:lin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ind w:right="320" w:rightChars="100"/>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ind w:right="320" w:rightChars="100"/>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0"/>
      </w:pBdr>
      <w:rPr>
        <w:rFonts w:hint="eastAsia"/>
      </w:rPr>
    </w:pP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0"/>
      </w:pBdr>
      <w:rPr>
        <w:rFonts w:hint="eastAsia"/>
      </w:rPr>
    </w:pPr>
    <w:r>
      <w:rPr>
        <w:rFonts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evenAndOddHeaders w:val="1"/>
  <w:drawingGridHorizontalSpacing w:val="158"/>
  <w:drawingGridVerticalSpacing w:val="290"/>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243"/>
    <w:rsid w:val="000253FA"/>
    <w:rsid w:val="00050AC5"/>
    <w:rsid w:val="00072E52"/>
    <w:rsid w:val="000B3399"/>
    <w:rsid w:val="000E291E"/>
    <w:rsid w:val="000E6968"/>
    <w:rsid w:val="00116C7A"/>
    <w:rsid w:val="00121B6F"/>
    <w:rsid w:val="001325DA"/>
    <w:rsid w:val="00145C75"/>
    <w:rsid w:val="001538F6"/>
    <w:rsid w:val="001745DC"/>
    <w:rsid w:val="001801EC"/>
    <w:rsid w:val="001851DD"/>
    <w:rsid w:val="001865AB"/>
    <w:rsid w:val="00195B6A"/>
    <w:rsid w:val="001B667D"/>
    <w:rsid w:val="0020458B"/>
    <w:rsid w:val="00223499"/>
    <w:rsid w:val="002269D4"/>
    <w:rsid w:val="00231764"/>
    <w:rsid w:val="00245BD9"/>
    <w:rsid w:val="00253BD6"/>
    <w:rsid w:val="00277BE2"/>
    <w:rsid w:val="00283713"/>
    <w:rsid w:val="002C0472"/>
    <w:rsid w:val="002D060D"/>
    <w:rsid w:val="002D17D8"/>
    <w:rsid w:val="00317448"/>
    <w:rsid w:val="003219F6"/>
    <w:rsid w:val="003407EA"/>
    <w:rsid w:val="00354EA9"/>
    <w:rsid w:val="003828FA"/>
    <w:rsid w:val="00396E4C"/>
    <w:rsid w:val="003A09E7"/>
    <w:rsid w:val="003A6D6E"/>
    <w:rsid w:val="003C3C58"/>
    <w:rsid w:val="00410875"/>
    <w:rsid w:val="00430145"/>
    <w:rsid w:val="00461224"/>
    <w:rsid w:val="00472F9E"/>
    <w:rsid w:val="00475982"/>
    <w:rsid w:val="0048765D"/>
    <w:rsid w:val="004A15F3"/>
    <w:rsid w:val="004A5365"/>
    <w:rsid w:val="004B2FE4"/>
    <w:rsid w:val="004D3B32"/>
    <w:rsid w:val="004E4405"/>
    <w:rsid w:val="004F62F7"/>
    <w:rsid w:val="005666FD"/>
    <w:rsid w:val="005911D6"/>
    <w:rsid w:val="00594095"/>
    <w:rsid w:val="005978EB"/>
    <w:rsid w:val="005D42F2"/>
    <w:rsid w:val="005D5EA3"/>
    <w:rsid w:val="005E7243"/>
    <w:rsid w:val="005E7BDD"/>
    <w:rsid w:val="006614BA"/>
    <w:rsid w:val="0066178F"/>
    <w:rsid w:val="006859E6"/>
    <w:rsid w:val="00691574"/>
    <w:rsid w:val="00692022"/>
    <w:rsid w:val="006A3DF8"/>
    <w:rsid w:val="006C73D7"/>
    <w:rsid w:val="00712027"/>
    <w:rsid w:val="00726EF9"/>
    <w:rsid w:val="007316B8"/>
    <w:rsid w:val="00750D7C"/>
    <w:rsid w:val="0079728D"/>
    <w:rsid w:val="007C193A"/>
    <w:rsid w:val="007C569E"/>
    <w:rsid w:val="007E5E0D"/>
    <w:rsid w:val="007F3A72"/>
    <w:rsid w:val="00804A05"/>
    <w:rsid w:val="0082723C"/>
    <w:rsid w:val="0087156E"/>
    <w:rsid w:val="008744A7"/>
    <w:rsid w:val="0088476D"/>
    <w:rsid w:val="008A0FF1"/>
    <w:rsid w:val="008B6098"/>
    <w:rsid w:val="008E2231"/>
    <w:rsid w:val="00982794"/>
    <w:rsid w:val="009C7120"/>
    <w:rsid w:val="009E611E"/>
    <w:rsid w:val="009E7ED0"/>
    <w:rsid w:val="009F6E0B"/>
    <w:rsid w:val="00A239A5"/>
    <w:rsid w:val="00A26E0B"/>
    <w:rsid w:val="00A32370"/>
    <w:rsid w:val="00A733C4"/>
    <w:rsid w:val="00A75DE6"/>
    <w:rsid w:val="00A8598A"/>
    <w:rsid w:val="00A9035B"/>
    <w:rsid w:val="00AB00BB"/>
    <w:rsid w:val="00B00248"/>
    <w:rsid w:val="00B0084A"/>
    <w:rsid w:val="00B31BED"/>
    <w:rsid w:val="00B34692"/>
    <w:rsid w:val="00B47EE3"/>
    <w:rsid w:val="00B67C9E"/>
    <w:rsid w:val="00BC54D6"/>
    <w:rsid w:val="00BD04F8"/>
    <w:rsid w:val="00BD6C8F"/>
    <w:rsid w:val="00BE0177"/>
    <w:rsid w:val="00BE1B1F"/>
    <w:rsid w:val="00BF17B9"/>
    <w:rsid w:val="00C37F2A"/>
    <w:rsid w:val="00C52395"/>
    <w:rsid w:val="00C60497"/>
    <w:rsid w:val="00C7277C"/>
    <w:rsid w:val="00C8215B"/>
    <w:rsid w:val="00C909AD"/>
    <w:rsid w:val="00C95624"/>
    <w:rsid w:val="00CB6A69"/>
    <w:rsid w:val="00CB78F6"/>
    <w:rsid w:val="00CC1487"/>
    <w:rsid w:val="00D841E3"/>
    <w:rsid w:val="00DA3F99"/>
    <w:rsid w:val="00DB5F77"/>
    <w:rsid w:val="00DC0D99"/>
    <w:rsid w:val="00DE1F26"/>
    <w:rsid w:val="00DE3ED6"/>
    <w:rsid w:val="00DF3572"/>
    <w:rsid w:val="00E06983"/>
    <w:rsid w:val="00E11C95"/>
    <w:rsid w:val="00E32094"/>
    <w:rsid w:val="00E503FB"/>
    <w:rsid w:val="00F21A3F"/>
    <w:rsid w:val="00F4723B"/>
    <w:rsid w:val="00F845DE"/>
    <w:rsid w:val="00F954E9"/>
    <w:rsid w:val="00FC58D3"/>
    <w:rsid w:val="02015531"/>
    <w:rsid w:val="028528E4"/>
    <w:rsid w:val="03352888"/>
    <w:rsid w:val="04AC5B5A"/>
    <w:rsid w:val="0B453A27"/>
    <w:rsid w:val="216915F0"/>
    <w:rsid w:val="2C6ECD14"/>
    <w:rsid w:val="2F7F24A4"/>
    <w:rsid w:val="3C732D21"/>
    <w:rsid w:val="3C7671BF"/>
    <w:rsid w:val="3E9F139F"/>
    <w:rsid w:val="3FD75F3A"/>
    <w:rsid w:val="3FF93349"/>
    <w:rsid w:val="4103650A"/>
    <w:rsid w:val="43EF3096"/>
    <w:rsid w:val="4AB32DE6"/>
    <w:rsid w:val="4B3C5314"/>
    <w:rsid w:val="4BD227FC"/>
    <w:rsid w:val="4E776090"/>
    <w:rsid w:val="53FD301C"/>
    <w:rsid w:val="570E6174"/>
    <w:rsid w:val="5A815D32"/>
    <w:rsid w:val="5DF5346E"/>
    <w:rsid w:val="5F23A142"/>
    <w:rsid w:val="5FF79010"/>
    <w:rsid w:val="66FD7477"/>
    <w:rsid w:val="6F9F7371"/>
    <w:rsid w:val="73F3BC63"/>
    <w:rsid w:val="76FFAB4D"/>
    <w:rsid w:val="78BF378A"/>
    <w:rsid w:val="7DE5FEEB"/>
    <w:rsid w:val="7DFC81EC"/>
    <w:rsid w:val="7EF27DAE"/>
    <w:rsid w:val="7EFF50B0"/>
    <w:rsid w:val="7EFF57FB"/>
    <w:rsid w:val="7EFF6425"/>
    <w:rsid w:val="7F705640"/>
    <w:rsid w:val="7F7F4DAB"/>
    <w:rsid w:val="7FFFD132"/>
    <w:rsid w:val="A1EB742D"/>
    <w:rsid w:val="AF5D8514"/>
    <w:rsid w:val="AFC5E6F0"/>
    <w:rsid w:val="B37C9FC4"/>
    <w:rsid w:val="B9EF4B1A"/>
    <w:rsid w:val="BF7BCFA2"/>
    <w:rsid w:val="BF8E0676"/>
    <w:rsid w:val="C9FB471B"/>
    <w:rsid w:val="D1DF540D"/>
    <w:rsid w:val="DB9E1D07"/>
    <w:rsid w:val="E4CF6DAB"/>
    <w:rsid w:val="EF4BED2C"/>
    <w:rsid w:val="EF8795FA"/>
    <w:rsid w:val="EFD7B0D6"/>
    <w:rsid w:val="F3357FF9"/>
    <w:rsid w:val="F627BA4C"/>
    <w:rsid w:val="FAFBB4C5"/>
    <w:rsid w:val="FB6F24CD"/>
    <w:rsid w:val="FDFE8642"/>
    <w:rsid w:val="FE9F8ABC"/>
    <w:rsid w:val="FF6D2B25"/>
    <w:rsid w:val="FF7406BB"/>
    <w:rsid w:val="FFC93952"/>
    <w:rsid w:val="FFDB0E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仿宋" w:asciiTheme="minorHAnsi" w:hAnsiTheme="minorHAnsi" w:eastAsiaTheme="minorEastAsia"/>
      <w:kern w:val="2"/>
      <w:sz w:val="32"/>
      <w:szCs w:val="32"/>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rFonts w:ascii="Times New Roman" w:hAnsi="Times New Roman" w:eastAsia="仿宋" w:cs="Times New Roman"/>
      <w:color w:val="000000"/>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rFonts w:ascii="Times New Roman" w:hAnsi="Times New Roman" w:eastAsia="仿宋" w:cs="Times New Roman"/>
      <w:color w:val="000000"/>
      <w:sz w:val="18"/>
      <w:szCs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page number"/>
    <w:basedOn w:val="6"/>
    <w:qFormat/>
    <w:uiPriority w:val="0"/>
    <w:rPr>
      <w:rFonts w:ascii="Times New Roman" w:hAnsi="Times New Roman" w:eastAsia="宋体" w:cs="Times New Roman"/>
    </w:rPr>
  </w:style>
  <w:style w:type="paragraph" w:customStyle="1" w:styleId="8">
    <w:name w:val="正文 + 仿宋_GB2312"/>
    <w:basedOn w:val="1"/>
    <w:qFormat/>
    <w:uiPriority w:val="0"/>
    <w:pPr>
      <w:framePr w:hSpace="180" w:wrap="around" w:vAnchor="text" w:hAnchor="text" w:y="1"/>
      <w:spacing w:before="120" w:line="318" w:lineRule="atLeast"/>
      <w:jc w:val="center"/>
      <w:textAlignment w:val="bottom"/>
    </w:pPr>
    <w:rPr>
      <w:rFonts w:ascii="Times New Roman" w:hAnsi="Times New Roman" w:eastAsia="仿宋_GB2312" w:cs="Times New Roman"/>
      <w:sz w:val="32"/>
      <w:szCs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6592</Words>
  <Characters>6863</Characters>
  <Lines>1</Lines>
  <Paragraphs>1</Paragraphs>
  <TotalTime>58</TotalTime>
  <ScaleCrop>false</ScaleCrop>
  <LinksUpToDate>false</LinksUpToDate>
  <CharactersWithSpaces>7000</CharactersWithSpaces>
  <Application>WPS Office_11.8.2.9067_F1E327BC-269C-435d-A152-05C5408002CA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2019-12-26T12:26:00Z</dcterms:created>
  <dc:creator>duan z</dc:creator>
  <cp:lastModifiedBy>昂</cp:lastModifiedBy>
  <cp:lastPrinted>2026-10-16T17:50:00Z</cp:lastPrinted>
  <dcterms:modified xsi:type="dcterms:W3CDTF">2026-10-21T08:05:43Z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2052-11.8.2.9067</vt:lpwstr>
  </property>
</Properties>
</file>