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91" w:rsidRDefault="00FE0691" w:rsidP="00FE0691">
      <w:pPr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附件1</w:t>
      </w:r>
    </w:p>
    <w:p w:rsidR="00FE0691" w:rsidRDefault="00FE0691" w:rsidP="00FE0691">
      <w:pPr>
        <w:tabs>
          <w:tab w:val="left" w:pos="792"/>
        </w:tabs>
        <w:spacing w:line="380" w:lineRule="exact"/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ab/>
      </w:r>
    </w:p>
    <w:p w:rsidR="00FE0691" w:rsidRDefault="00FE0691" w:rsidP="00FE0691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台湾地区记账士、会计师职业资格采认会计</w:t>
      </w:r>
    </w:p>
    <w:p w:rsidR="00FE0691" w:rsidRDefault="00FE0691" w:rsidP="00FE0691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专业技术职务任职资格办事指南</w:t>
      </w:r>
    </w:p>
    <w:bookmarkEnd w:id="0"/>
    <w:p w:rsidR="00FE0691" w:rsidRDefault="00FE0691" w:rsidP="00FE0691">
      <w:pPr>
        <w:jc w:val="center"/>
        <w:rPr>
          <w:rFonts w:ascii="宋体" w:eastAsia="宋体" w:hAnsi="宋体" w:cs="宋体" w:hint="eastAsia"/>
          <w:sz w:val="36"/>
          <w:szCs w:val="36"/>
        </w:rPr>
      </w:pPr>
    </w:p>
    <w:p w:rsidR="00FE0691" w:rsidRDefault="00FE0691" w:rsidP="00FE0691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一、采</w:t>
      </w:r>
      <w:proofErr w:type="gramStart"/>
      <w:r>
        <w:rPr>
          <w:rFonts w:ascii="黑体" w:eastAsia="黑体" w:hAnsi="黑体" w:hint="eastAsia"/>
          <w:szCs w:val="32"/>
        </w:rPr>
        <w:t>认范围</w:t>
      </w:r>
      <w:proofErr w:type="gramEnd"/>
      <w:r>
        <w:rPr>
          <w:rFonts w:ascii="黑体" w:eastAsia="黑体" w:hAnsi="黑体" w:hint="eastAsia"/>
          <w:szCs w:val="32"/>
        </w:rPr>
        <w:t>和对象</w:t>
      </w:r>
    </w:p>
    <w:p w:rsidR="00FE0691" w:rsidRDefault="00FE0691" w:rsidP="00FE0691">
      <w:pPr>
        <w:ind w:firstLineChars="200" w:firstLine="640"/>
        <w:rPr>
          <w:rFonts w:ascii="仿宋_GB2312" w:hint="eastAsia"/>
          <w:color w:val="0000FF"/>
          <w:szCs w:val="32"/>
        </w:rPr>
      </w:pPr>
      <w:r>
        <w:rPr>
          <w:rFonts w:ascii="仿宋_GB2312" w:hint="eastAsia"/>
          <w:szCs w:val="32"/>
        </w:rPr>
        <w:t>在我省从事财务、会计等相关业务的台湾专业技术人员，取得台湾地区记账士职业资格的，可申请</w:t>
      </w:r>
      <w:proofErr w:type="gramStart"/>
      <w:r>
        <w:rPr>
          <w:rFonts w:ascii="仿宋_GB2312" w:hint="eastAsia"/>
          <w:szCs w:val="32"/>
        </w:rPr>
        <w:t>采认在福建省</w:t>
      </w:r>
      <w:proofErr w:type="gramEnd"/>
      <w:r>
        <w:rPr>
          <w:rFonts w:ascii="仿宋_GB2312" w:hint="eastAsia"/>
          <w:szCs w:val="32"/>
        </w:rPr>
        <w:t>范围内视同具备会计初级专业技术职务任职资格；取得台湾地区会计师职业资格的，可申请</w:t>
      </w:r>
      <w:proofErr w:type="gramStart"/>
      <w:r>
        <w:rPr>
          <w:rFonts w:ascii="仿宋_GB2312" w:hint="eastAsia"/>
          <w:szCs w:val="32"/>
        </w:rPr>
        <w:t>采认在福建省</w:t>
      </w:r>
      <w:proofErr w:type="gramEnd"/>
      <w:r>
        <w:rPr>
          <w:rFonts w:ascii="仿宋_GB2312" w:hint="eastAsia"/>
          <w:szCs w:val="32"/>
        </w:rPr>
        <w:t>范围内视同具备会计中级专业技术职务任职资格。</w:t>
      </w:r>
    </w:p>
    <w:p w:rsidR="00FE0691" w:rsidRDefault="00FE0691" w:rsidP="00FE0691">
      <w:pPr>
        <w:numPr>
          <w:ilvl w:val="0"/>
          <w:numId w:val="1"/>
        </w:numPr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直接采认条件</w:t>
      </w:r>
    </w:p>
    <w:p w:rsidR="00FE0691" w:rsidRDefault="00FE0691" w:rsidP="00FE0691">
      <w:pPr>
        <w:rPr>
          <w:rFonts w:ascii="仿宋" w:eastAsia="仿宋" w:hAnsi="仿宋" w:cs="仿宋" w:hint="eastAsia"/>
          <w:szCs w:val="32"/>
        </w:rPr>
      </w:pPr>
      <w:r>
        <w:rPr>
          <w:rFonts w:ascii="黑体" w:eastAsia="黑体" w:hAnsi="黑体" w:hint="eastAsia"/>
          <w:b/>
          <w:bCs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必须同时具备下列条件：</w:t>
      </w:r>
    </w:p>
    <w:p w:rsidR="00FE0691" w:rsidRPr="00326027" w:rsidRDefault="00FE0691" w:rsidP="00FE0691">
      <w:pPr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 w:rsidRPr="00326027">
        <w:rPr>
          <w:rFonts w:ascii="楷体_GB2312" w:eastAsia="楷体_GB2312" w:hAnsi="楷体_GB2312" w:cs="楷体_GB2312" w:hint="eastAsia"/>
          <w:szCs w:val="32"/>
        </w:rPr>
        <w:t>（一）基本条件</w:t>
      </w:r>
    </w:p>
    <w:p w:rsidR="00FE0691" w:rsidRDefault="00FE0691" w:rsidP="00FE0691">
      <w:pPr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1.遵纪守法。遵守《中华人民共和国宪法》和《中华人民共和国会计法》《会计专业职务试行条例》等法律法规及国家职业资格证书制度的有关规定，坚持一个中国原则，</w:t>
      </w:r>
      <w:proofErr w:type="gramStart"/>
      <w:r>
        <w:rPr>
          <w:rFonts w:ascii="仿宋_GB2312" w:hint="eastAsia"/>
          <w:szCs w:val="32"/>
        </w:rPr>
        <w:t>拥护两岸</w:t>
      </w:r>
      <w:proofErr w:type="gramEnd"/>
      <w:r>
        <w:rPr>
          <w:rFonts w:ascii="仿宋_GB2312" w:hint="eastAsia"/>
          <w:szCs w:val="32"/>
        </w:rPr>
        <w:t>和平统一发展。</w:t>
      </w:r>
    </w:p>
    <w:p w:rsidR="00FE0691" w:rsidRDefault="00FE0691" w:rsidP="00FE0691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2.爱岗敬业。尽职尽责、热爱本职工作，具有良好的职业道德、社会公德和职业操守。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3.诚实守信。申报材料应真实、准确、有效，对伪造学历、资历、资格证书等弄虚作假者，实行“一票否决”。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4.执业期内无不良行为记录。</w:t>
      </w:r>
    </w:p>
    <w:p w:rsidR="00FE0691" w:rsidRPr="00326027" w:rsidRDefault="00FE0691" w:rsidP="00FE0691">
      <w:pPr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 w:rsidRPr="00326027">
        <w:rPr>
          <w:rFonts w:ascii="楷体_GB2312" w:eastAsia="楷体_GB2312" w:hAnsi="楷体_GB2312" w:cs="楷体_GB2312" w:hint="eastAsia"/>
          <w:szCs w:val="32"/>
        </w:rPr>
        <w:lastRenderedPageBreak/>
        <w:t>（二）专业条件</w:t>
      </w:r>
    </w:p>
    <w:p w:rsidR="00FE0691" w:rsidRDefault="00FE0691" w:rsidP="00FE0691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1.取得台湾地区记账士、会计师证书;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2.受聘于我省企事业单位并从事财务会计等相关工作。</w:t>
      </w:r>
    </w:p>
    <w:p w:rsidR="00FE0691" w:rsidRDefault="00FE0691" w:rsidP="00FE0691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三、直接采认程序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（一）申请人在</w:t>
      </w:r>
      <w:r>
        <w:rPr>
          <w:rFonts w:ascii="仿宋" w:eastAsia="仿宋" w:hAnsi="仿宋" w:cs="仿宋" w:hint="eastAsia"/>
          <w:szCs w:val="32"/>
        </w:rPr>
        <w:t>福建省会计人员信息管</w:t>
      </w:r>
      <w:r>
        <w:rPr>
          <w:rFonts w:ascii="仿宋_GB2312" w:hint="eastAsia"/>
          <w:szCs w:val="32"/>
        </w:rPr>
        <w:t>理平台或厦门市会计人</w:t>
      </w:r>
      <w:r>
        <w:rPr>
          <w:rFonts w:ascii="仿宋" w:eastAsia="仿宋" w:hAnsi="仿宋" w:cs="仿宋" w:hint="eastAsia"/>
          <w:szCs w:val="32"/>
        </w:rPr>
        <w:t>员综合服务平台内完成会计人员信息采集。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（二）申请人按属地原则，于每月10日之前向工作单位所在地的设区市财政局、平潭综合实验区财政金融局会计管理部门提交资格采认申请，各设区市、平潭综合实验区财政部门会同本市</w:t>
      </w:r>
      <w:proofErr w:type="gramStart"/>
      <w:r>
        <w:rPr>
          <w:rFonts w:ascii="仿宋_GB2312" w:hint="eastAsia"/>
          <w:szCs w:val="32"/>
        </w:rPr>
        <w:t>人社部门</w:t>
      </w:r>
      <w:proofErr w:type="gramEnd"/>
      <w:r>
        <w:rPr>
          <w:rFonts w:ascii="仿宋_GB2312" w:hint="eastAsia"/>
          <w:szCs w:val="32"/>
        </w:rPr>
        <w:t>进行审核。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（三）各设区市、平潭综合实验区财政部门和</w:t>
      </w:r>
      <w:proofErr w:type="gramStart"/>
      <w:r>
        <w:rPr>
          <w:rFonts w:ascii="仿宋_GB2312" w:hint="eastAsia"/>
          <w:szCs w:val="32"/>
        </w:rPr>
        <w:t>人社部门</w:t>
      </w:r>
      <w:proofErr w:type="gramEnd"/>
      <w:r>
        <w:rPr>
          <w:rFonts w:ascii="仿宋_GB2312" w:hint="eastAsia"/>
          <w:szCs w:val="32"/>
        </w:rPr>
        <w:t>审核完成后，对符合条件的，向社会进行公示，公示时间为5个工作日。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（四）公示结束后，各设区市、平潭综合实验区财政部门、</w:t>
      </w:r>
      <w:proofErr w:type="gramStart"/>
      <w:r>
        <w:rPr>
          <w:rFonts w:ascii="仿宋_GB2312" w:hint="eastAsia"/>
          <w:szCs w:val="32"/>
        </w:rPr>
        <w:t>人社部门</w:t>
      </w:r>
      <w:proofErr w:type="gramEnd"/>
      <w:r>
        <w:rPr>
          <w:rFonts w:ascii="仿宋_GB2312" w:hint="eastAsia"/>
          <w:szCs w:val="32"/>
        </w:rPr>
        <w:t>在官方网站向社会公布审核通过予以采认的人员名单，并于5个工作日内报省财政厅、省</w:t>
      </w:r>
      <w:proofErr w:type="gramStart"/>
      <w:r>
        <w:rPr>
          <w:rFonts w:ascii="仿宋_GB2312" w:hint="eastAsia"/>
          <w:szCs w:val="32"/>
        </w:rPr>
        <w:t>人社厅</w:t>
      </w:r>
      <w:proofErr w:type="gramEnd"/>
      <w:r>
        <w:rPr>
          <w:rFonts w:ascii="仿宋_GB2312" w:hint="eastAsia"/>
          <w:szCs w:val="32"/>
        </w:rPr>
        <w:t>备案。</w:t>
      </w:r>
    </w:p>
    <w:p w:rsidR="00FE0691" w:rsidRDefault="00FE0691" w:rsidP="00FE0691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四、申请采认材料</w:t>
      </w:r>
    </w:p>
    <w:p w:rsidR="00FE0691" w:rsidRDefault="00FE0691" w:rsidP="00FE0691">
      <w:pPr>
        <w:ind w:firstLineChars="200" w:firstLine="640"/>
        <w:rPr>
          <w:rFonts w:ascii="仿宋_GB2312" w:hint="eastAsia"/>
          <w:b/>
          <w:szCs w:val="32"/>
        </w:rPr>
      </w:pPr>
      <w:r>
        <w:rPr>
          <w:rFonts w:ascii="仿宋_GB2312" w:hint="eastAsia"/>
          <w:szCs w:val="32"/>
        </w:rPr>
        <w:t>申请采认大陆会计初级专业技术职务任职资格、会计中级专业技术职务任职资格登记须提交下列材料</w:t>
      </w:r>
      <w:r>
        <w:rPr>
          <w:rFonts w:ascii="仿宋_GB2312" w:hint="eastAsia"/>
          <w:b/>
          <w:szCs w:val="32"/>
        </w:rPr>
        <w:t>：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1.台湾地区记账士、会计师证书（原件及复印件）；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2.《台湾居民来往大陆通行证》或《台湾居民居住证》（原件及复印件）；</w:t>
      </w:r>
    </w:p>
    <w:p w:rsidR="00FE0691" w:rsidRDefault="00FE0691" w:rsidP="00FE0691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3.在台执业期内无不良行为记录的证明；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4.我省企事业单位出具的劳动（聘用）合同或工作证明（原件及复印件）；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5.台湾地区记账士、会计师职业资格采认会计专业技术职务任职资格申请表一式三份。</w:t>
      </w:r>
    </w:p>
    <w:p w:rsidR="00FE0691" w:rsidRDefault="00FE0691" w:rsidP="00FE069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以上材料应当为中文文本。第1、3项的内容必须经过台湾地区公证机关的公证。申请材料第1、2项及第4项中的劳动（聘用）合同原件经核验后退还申请人。</w:t>
      </w:r>
    </w:p>
    <w:p w:rsidR="00FE0691" w:rsidRDefault="00FE0691" w:rsidP="00FE0691">
      <w:pPr>
        <w:numPr>
          <w:ilvl w:val="0"/>
          <w:numId w:val="2"/>
        </w:numPr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受理地址、咨询电话</w:t>
      </w:r>
    </w:p>
    <w:p w:rsidR="00FE0691" w:rsidRDefault="00FE0691" w:rsidP="00FE0691">
      <w:pPr>
        <w:spacing w:line="520" w:lineRule="exact"/>
        <w:ind w:leftChars="200" w:left="1920" w:hangingChars="400" w:hanging="128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福州市：福州市仓山区南江滨西大道193号东部办公区3号楼1222室</w:t>
      </w:r>
    </w:p>
    <w:p w:rsidR="00FE0691" w:rsidRDefault="00FE0691" w:rsidP="00FE0691">
      <w:pPr>
        <w:spacing w:line="52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福州市财政局会计处 0591-88082512</w:t>
      </w:r>
    </w:p>
    <w:p w:rsidR="00FE0691" w:rsidRDefault="00FE0691" w:rsidP="00FE0691">
      <w:pPr>
        <w:spacing w:line="52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厦门市：厦门市思明区湖滨北路98号财经大厦402室</w:t>
      </w:r>
    </w:p>
    <w:p w:rsidR="00FE0691" w:rsidRDefault="00FE0691" w:rsidP="00FE0691">
      <w:pPr>
        <w:spacing w:line="52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厦门市财政局会计处 0592-2858267</w:t>
      </w:r>
    </w:p>
    <w:p w:rsidR="00FE0691" w:rsidRDefault="00FE0691" w:rsidP="00FE0691">
      <w:pPr>
        <w:spacing w:line="52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宁德市：宁德市东侨区闽东东路5号财政大楼604室</w:t>
      </w:r>
    </w:p>
    <w:p w:rsidR="00FE0691" w:rsidRDefault="00FE0691" w:rsidP="00FE0691">
      <w:pPr>
        <w:spacing w:line="52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宁德市财政局会计科 0593-2822726、2368027</w:t>
      </w:r>
    </w:p>
    <w:p w:rsidR="00FE0691" w:rsidRDefault="00FE0691" w:rsidP="00FE0691">
      <w:pPr>
        <w:spacing w:line="520" w:lineRule="exact"/>
        <w:ind w:leftChars="200" w:left="1920" w:hangingChars="400" w:hanging="128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莆田市：莆田市城厢区荔城中大道2169号莆田市市政府8号楼205室</w:t>
      </w:r>
    </w:p>
    <w:p w:rsidR="00FE0691" w:rsidRDefault="00FE0691" w:rsidP="00FE0691">
      <w:pPr>
        <w:spacing w:line="52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莆田市财政局会计科 0594-2698966</w:t>
      </w:r>
    </w:p>
    <w:p w:rsidR="00FE0691" w:rsidRDefault="00FE0691" w:rsidP="00FE0691">
      <w:pPr>
        <w:adjustRightInd w:val="0"/>
        <w:snapToGrid w:val="0"/>
        <w:spacing w:line="520" w:lineRule="exact"/>
        <w:ind w:leftChars="193" w:left="1578" w:hangingChars="300" w:hanging="960"/>
        <w:rPr>
          <w:rFonts w:ascii="仿宋_GB2312" w:hint="eastAsia"/>
          <w:spacing w:val="-11"/>
          <w:szCs w:val="32"/>
        </w:rPr>
      </w:pPr>
      <w:r>
        <w:rPr>
          <w:rFonts w:ascii="仿宋_GB2312" w:hint="eastAsia"/>
          <w:szCs w:val="32"/>
        </w:rPr>
        <w:t>泉州市：</w:t>
      </w:r>
      <w:r>
        <w:rPr>
          <w:rFonts w:ascii="仿宋_GB2312" w:hint="eastAsia"/>
          <w:spacing w:val="-17"/>
          <w:szCs w:val="32"/>
        </w:rPr>
        <w:t>泉</w:t>
      </w:r>
      <w:r>
        <w:rPr>
          <w:rFonts w:ascii="仿宋_GB2312" w:hint="eastAsia"/>
          <w:spacing w:val="-11"/>
          <w:szCs w:val="32"/>
        </w:rPr>
        <w:t>州市丰泽区东海街道府西路交通科研楼C栋624室</w:t>
      </w:r>
    </w:p>
    <w:p w:rsidR="00FE0691" w:rsidRDefault="00FE0691" w:rsidP="00FE0691">
      <w:pPr>
        <w:spacing w:line="520" w:lineRule="exact"/>
        <w:ind w:firstLineChars="650" w:firstLine="1937"/>
        <w:rPr>
          <w:rFonts w:ascii="仿宋_GB2312" w:hint="eastAsia"/>
          <w:szCs w:val="32"/>
        </w:rPr>
      </w:pPr>
      <w:r>
        <w:rPr>
          <w:rFonts w:ascii="仿宋_GB2312" w:hint="eastAsia"/>
          <w:spacing w:val="-11"/>
          <w:szCs w:val="32"/>
        </w:rPr>
        <w:t>泉州市财</w:t>
      </w:r>
      <w:r>
        <w:rPr>
          <w:rFonts w:ascii="仿宋_GB2312" w:hint="eastAsia"/>
          <w:szCs w:val="32"/>
        </w:rPr>
        <w:t>政局会计科 0595-28066562</w:t>
      </w:r>
    </w:p>
    <w:p w:rsidR="00FE0691" w:rsidRDefault="00FE0691" w:rsidP="00FE0691">
      <w:pPr>
        <w:spacing w:line="52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漳州市：漳州市</w:t>
      </w:r>
      <w:proofErr w:type="gramStart"/>
      <w:r>
        <w:rPr>
          <w:rFonts w:ascii="仿宋_GB2312" w:hint="eastAsia"/>
          <w:szCs w:val="32"/>
        </w:rPr>
        <w:t>芗</w:t>
      </w:r>
      <w:proofErr w:type="gramEnd"/>
      <w:r>
        <w:rPr>
          <w:rFonts w:ascii="仿宋_GB2312" w:hint="eastAsia"/>
          <w:szCs w:val="32"/>
        </w:rPr>
        <w:t>城区</w:t>
      </w:r>
      <w:proofErr w:type="gramStart"/>
      <w:r>
        <w:rPr>
          <w:rFonts w:ascii="仿宋_GB2312" w:hint="eastAsia"/>
          <w:szCs w:val="32"/>
        </w:rPr>
        <w:t>漳</w:t>
      </w:r>
      <w:proofErr w:type="gramEnd"/>
      <w:r>
        <w:rPr>
          <w:rFonts w:ascii="仿宋_GB2312" w:hint="eastAsia"/>
          <w:szCs w:val="32"/>
        </w:rPr>
        <w:t>福路46号1号楼</w:t>
      </w:r>
    </w:p>
    <w:p w:rsidR="00FE0691" w:rsidRDefault="00FE0691" w:rsidP="00FE0691">
      <w:pPr>
        <w:spacing w:line="520" w:lineRule="exact"/>
        <w:ind w:firstLineChars="100" w:firstLine="3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漳州市财政局会计科 0596-2027963</w:t>
      </w:r>
    </w:p>
    <w:p w:rsidR="00FE0691" w:rsidRDefault="00FE0691" w:rsidP="00FE0691">
      <w:pPr>
        <w:spacing w:line="520" w:lineRule="exact"/>
        <w:ind w:firstLineChars="200" w:firstLine="640"/>
        <w:rPr>
          <w:rFonts w:ascii="仿宋_GB2312" w:hint="eastAsia"/>
          <w:spacing w:val="-11"/>
          <w:szCs w:val="32"/>
        </w:rPr>
      </w:pPr>
      <w:r>
        <w:rPr>
          <w:rFonts w:ascii="仿宋_GB2312" w:hint="eastAsia"/>
          <w:szCs w:val="32"/>
        </w:rPr>
        <w:t>龙岩市：</w:t>
      </w:r>
      <w:r>
        <w:rPr>
          <w:rFonts w:ascii="仿宋_GB2312" w:hint="eastAsia"/>
          <w:spacing w:val="-11"/>
          <w:szCs w:val="32"/>
        </w:rPr>
        <w:t>龙岩市新罗区华莲路金融中心A2幢22楼2229室</w:t>
      </w:r>
    </w:p>
    <w:p w:rsidR="00FE0691" w:rsidRDefault="00FE0691" w:rsidP="00FE0691">
      <w:pPr>
        <w:spacing w:line="520" w:lineRule="exact"/>
        <w:ind w:firstLineChars="600" w:firstLine="1920"/>
        <w:rPr>
          <w:rFonts w:ascii="仿宋_GB2312" w:hint="eastAsia"/>
          <w:color w:val="0000FF"/>
          <w:szCs w:val="32"/>
        </w:rPr>
      </w:pPr>
      <w:r>
        <w:rPr>
          <w:rFonts w:ascii="仿宋_GB2312" w:hint="eastAsia"/>
          <w:szCs w:val="32"/>
        </w:rPr>
        <w:lastRenderedPageBreak/>
        <w:t xml:space="preserve">龙岩市财政局会计科 0597-2212380 </w:t>
      </w:r>
      <w:r>
        <w:rPr>
          <w:rFonts w:ascii="仿宋_GB2312" w:hint="eastAsia"/>
          <w:color w:val="0000FF"/>
          <w:szCs w:val="32"/>
        </w:rPr>
        <w:t xml:space="preserve"> </w:t>
      </w:r>
    </w:p>
    <w:p w:rsidR="00FE0691" w:rsidRDefault="00FE0691" w:rsidP="00FE0691">
      <w:pPr>
        <w:spacing w:line="52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三明市：三明市梅列区红岩新村15幢二楼</w:t>
      </w:r>
    </w:p>
    <w:p w:rsidR="00FE0691" w:rsidRDefault="00FE0691" w:rsidP="00FE0691">
      <w:pPr>
        <w:spacing w:line="520" w:lineRule="exact"/>
        <w:ind w:firstLineChars="100" w:firstLine="3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三明市财政局会计科 0598-8223754</w:t>
      </w:r>
    </w:p>
    <w:p w:rsidR="00FE0691" w:rsidRDefault="00FE0691" w:rsidP="00FE0691">
      <w:pPr>
        <w:spacing w:line="52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南平市：南平市建阳武夷新区南林核心区广场东路82</w:t>
      </w:r>
    </w:p>
    <w:p w:rsidR="00FE0691" w:rsidRDefault="00FE0691" w:rsidP="00FE0691">
      <w:pPr>
        <w:spacing w:line="52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号南林写字楼2号楼4楼A423室  </w:t>
      </w:r>
    </w:p>
    <w:p w:rsidR="00FE0691" w:rsidRDefault="00FE0691" w:rsidP="00FE0691">
      <w:pPr>
        <w:spacing w:line="52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南平市财政局会计科 0599-8821820</w:t>
      </w:r>
    </w:p>
    <w:p w:rsidR="00FE0691" w:rsidRDefault="00FE0691" w:rsidP="00FE0691">
      <w:pPr>
        <w:spacing w:line="52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平潭综合实验区：平潭综合实验区金井商务营业中心7</w:t>
      </w:r>
    </w:p>
    <w:p w:rsidR="00FE0691" w:rsidRDefault="00FE0691" w:rsidP="00FE0691">
      <w:pPr>
        <w:spacing w:line="52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号楼6层</w:t>
      </w:r>
    </w:p>
    <w:p w:rsidR="00FE0691" w:rsidRDefault="00FE0691" w:rsidP="00FE0691">
      <w:pPr>
        <w:spacing w:line="520" w:lineRule="exact"/>
        <w:ind w:firstLineChars="100" w:firstLine="3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平潭综合实验区财政金融局监督检查处  </w:t>
      </w:r>
    </w:p>
    <w:p w:rsidR="00FE0691" w:rsidRDefault="00FE0691" w:rsidP="00FE0691">
      <w:pPr>
        <w:spacing w:line="520" w:lineRule="exact"/>
        <w:ind w:firstLineChars="100" w:firstLine="320"/>
        <w:rPr>
          <w:rFonts w:ascii="仿宋_GB2312" w:hint="eastAsia"/>
          <w:szCs w:val="32"/>
        </w:rPr>
      </w:pPr>
      <w:r>
        <w:rPr>
          <w:rFonts w:ascii="仿宋_GB2312" w:hint="eastAsia"/>
          <w:color w:val="0000FF"/>
          <w:szCs w:val="32"/>
        </w:rPr>
        <w:t xml:space="preserve">          </w:t>
      </w:r>
      <w:r>
        <w:rPr>
          <w:rFonts w:ascii="仿宋_GB2312" w:hint="eastAsia"/>
          <w:szCs w:val="32"/>
        </w:rPr>
        <w:t>0591-23163465</w:t>
      </w:r>
    </w:p>
    <w:p w:rsidR="00FE0691" w:rsidRDefault="00FE0691" w:rsidP="00FE0691">
      <w:pPr>
        <w:rPr>
          <w:rFonts w:ascii="仿宋" w:eastAsia="仿宋" w:hAnsi="仿宋" w:cs="仿宋" w:hint="eastAsia"/>
          <w:color w:val="000000"/>
          <w:szCs w:val="32"/>
        </w:rPr>
      </w:pPr>
    </w:p>
    <w:p w:rsidR="00CC61D7" w:rsidRDefault="00CC61D7"/>
    <w:sectPr w:rsidR="00CC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BD" w:rsidRDefault="00DD21BD" w:rsidP="00FE0691">
      <w:r>
        <w:separator/>
      </w:r>
    </w:p>
  </w:endnote>
  <w:endnote w:type="continuationSeparator" w:id="0">
    <w:p w:rsidR="00DD21BD" w:rsidRDefault="00DD21BD" w:rsidP="00FE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BD" w:rsidRDefault="00DD21BD" w:rsidP="00FE0691">
      <w:r>
        <w:separator/>
      </w:r>
    </w:p>
  </w:footnote>
  <w:footnote w:type="continuationSeparator" w:id="0">
    <w:p w:rsidR="00DD21BD" w:rsidRDefault="00DD21BD" w:rsidP="00FE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C13A"/>
    <w:multiLevelType w:val="singleLevel"/>
    <w:tmpl w:val="5E58C13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E81A30B"/>
    <w:multiLevelType w:val="singleLevel"/>
    <w:tmpl w:val="5E81A30B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EF"/>
    <w:rsid w:val="008821EF"/>
    <w:rsid w:val="00CC61D7"/>
    <w:rsid w:val="00DD21BD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91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6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91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6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2020-09-28T07:31:00Z</dcterms:created>
  <dcterms:modified xsi:type="dcterms:W3CDTF">2020-09-28T07:31:00Z</dcterms:modified>
</cp:coreProperties>
</file>